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244" w:rsidRPr="00064DC8" w:rsidRDefault="00263244" w:rsidP="00263244">
      <w:pPr>
        <w:spacing w:line="276" w:lineRule="auto"/>
        <w:rPr>
          <w:rStyle w:val="CharacterStyle1"/>
          <w:rFonts w:eastAsia="Calibri"/>
          <w:b/>
          <w:bCs/>
          <w:sz w:val="28"/>
          <w:szCs w:val="28"/>
          <w:lang w:val="es-ES" w:eastAsia="es-ES"/>
        </w:rPr>
      </w:pPr>
    </w:p>
    <w:p w:rsidR="00263244" w:rsidRPr="00CB3ED0" w:rsidRDefault="00263244" w:rsidP="00263244">
      <w:pPr>
        <w:pStyle w:val="Sinespaciado"/>
        <w:jc w:val="center"/>
        <w:rPr>
          <w:b/>
          <w:sz w:val="28"/>
          <w:szCs w:val="28"/>
        </w:rPr>
      </w:pPr>
      <w:r>
        <w:rPr>
          <w:b/>
          <w:sz w:val="28"/>
          <w:szCs w:val="28"/>
        </w:rPr>
        <w:t>RESOLUCIÓN No</w:t>
      </w:r>
      <w:r w:rsidRPr="00CB3ED0">
        <w:rPr>
          <w:b/>
          <w:sz w:val="28"/>
          <w:szCs w:val="28"/>
        </w:rPr>
        <w:t>. TAT-</w:t>
      </w:r>
      <w:r w:rsidR="00D21497">
        <w:rPr>
          <w:b/>
          <w:sz w:val="28"/>
          <w:szCs w:val="28"/>
        </w:rPr>
        <w:t>2989</w:t>
      </w:r>
      <w:r w:rsidRPr="00CB3ED0">
        <w:rPr>
          <w:b/>
          <w:sz w:val="28"/>
          <w:szCs w:val="28"/>
        </w:rPr>
        <w:t>-2016</w:t>
      </w:r>
    </w:p>
    <w:p w:rsidR="00263244" w:rsidRDefault="00263244" w:rsidP="00263244">
      <w:pPr>
        <w:pStyle w:val="Sinespaciado"/>
        <w:jc w:val="both"/>
        <w:rPr>
          <w:sz w:val="28"/>
          <w:szCs w:val="28"/>
        </w:rPr>
      </w:pPr>
    </w:p>
    <w:p w:rsidR="00D21497" w:rsidRDefault="00D21497" w:rsidP="00D21497">
      <w:pPr>
        <w:spacing w:line="276" w:lineRule="auto"/>
        <w:jc w:val="both"/>
        <w:rPr>
          <w:sz w:val="26"/>
          <w:szCs w:val="26"/>
        </w:rPr>
      </w:pPr>
      <w:r>
        <w:rPr>
          <w:b/>
          <w:sz w:val="26"/>
          <w:szCs w:val="26"/>
        </w:rPr>
        <w:t xml:space="preserve">TRIBUNAL ADMINISTRATIVO DE TRANSPORTE.  </w:t>
      </w:r>
      <w:r>
        <w:rPr>
          <w:sz w:val="26"/>
          <w:szCs w:val="26"/>
        </w:rPr>
        <w:t>San José, a las 10:42 horas del día Treinta y Uno de Mayo del Dos Mil Dieciséis.----------------------------------------------------</w:t>
      </w:r>
    </w:p>
    <w:p w:rsidR="00D21497" w:rsidRDefault="00D21497" w:rsidP="00263244">
      <w:pPr>
        <w:pStyle w:val="Sinespaciado"/>
        <w:jc w:val="both"/>
        <w:rPr>
          <w:sz w:val="28"/>
          <w:szCs w:val="28"/>
        </w:rPr>
      </w:pPr>
    </w:p>
    <w:p w:rsidR="00263244" w:rsidRPr="007B65A6" w:rsidRDefault="00263244" w:rsidP="00263244">
      <w:pPr>
        <w:pStyle w:val="Sinespaciado"/>
        <w:jc w:val="both"/>
        <w:rPr>
          <w:b/>
          <w:i/>
          <w:sz w:val="28"/>
          <w:szCs w:val="28"/>
        </w:rPr>
      </w:pPr>
      <w:r>
        <w:rPr>
          <w:sz w:val="28"/>
          <w:szCs w:val="28"/>
        </w:rPr>
        <w:t xml:space="preserve">Se conoce por este medio de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Pr="00F221C1">
        <w:rPr>
          <w:b/>
          <w:sz w:val="28"/>
          <w:szCs w:val="28"/>
        </w:rPr>
        <w:t>,</w:t>
      </w:r>
      <w:r>
        <w:rPr>
          <w:b/>
          <w:sz w:val="28"/>
          <w:szCs w:val="28"/>
        </w:rPr>
        <w:t xml:space="preserve">  </w:t>
      </w:r>
      <w:r w:rsidR="00B26947">
        <w:rPr>
          <w:b/>
          <w:sz w:val="28"/>
          <w:szCs w:val="28"/>
        </w:rPr>
        <w:t>ASV</w:t>
      </w:r>
      <w:r>
        <w:rPr>
          <w:b/>
          <w:sz w:val="28"/>
          <w:szCs w:val="28"/>
        </w:rPr>
        <w:t xml:space="preserve"> </w:t>
      </w:r>
      <w:r w:rsidRPr="00F221C1">
        <w:rPr>
          <w:b/>
          <w:sz w:val="28"/>
          <w:szCs w:val="28"/>
        </w:rPr>
        <w:t>SOCIEDAD ANÓNIMA</w:t>
      </w:r>
      <w:r>
        <w:rPr>
          <w:sz w:val="28"/>
          <w:szCs w:val="28"/>
        </w:rPr>
        <w:t xml:space="preserve">, cédula de persona jurídica número </w:t>
      </w:r>
      <w:r w:rsidR="00B26947">
        <w:rPr>
          <w:sz w:val="28"/>
          <w:szCs w:val="28"/>
        </w:rPr>
        <w:t>….</w:t>
      </w:r>
      <w:r>
        <w:rPr>
          <w:sz w:val="28"/>
          <w:szCs w:val="28"/>
        </w:rPr>
        <w:t xml:space="preserve">, representada en este acto por su Apoderado Generalísimo sin Límite de Suma, Señor </w:t>
      </w:r>
      <w:r w:rsidR="00B26947">
        <w:rPr>
          <w:sz w:val="28"/>
          <w:szCs w:val="28"/>
        </w:rPr>
        <w:t>EVV</w:t>
      </w:r>
      <w:r>
        <w:rPr>
          <w:sz w:val="28"/>
          <w:szCs w:val="28"/>
        </w:rPr>
        <w:t xml:space="preserve">, de calidades conocidas, portador de la cédula de identidad número </w:t>
      </w:r>
      <w:r w:rsidR="00B26947">
        <w:rPr>
          <w:sz w:val="28"/>
          <w:szCs w:val="28"/>
        </w:rPr>
        <w:t>….</w:t>
      </w:r>
      <w:r>
        <w:rPr>
          <w:sz w:val="28"/>
          <w:szCs w:val="28"/>
        </w:rPr>
        <w:t xml:space="preserve">, en su condición de Operadora del Servicio Público de Transporte Remunerado de Personas, modalidad Autobús, contra el Acuerdo No. 7.14 de la Sesión Ordinaria No. 38-2015 de la Junta Directiva del Consejo de Transporte Público, de fecha 02 de Julio del año 2015.- </w:t>
      </w:r>
      <w:r>
        <w:rPr>
          <w:b/>
          <w:i/>
          <w:sz w:val="28"/>
          <w:szCs w:val="28"/>
        </w:rPr>
        <w:t>EXPEDIENTE No. TAT-025</w:t>
      </w:r>
      <w:r w:rsidRPr="007B65A6">
        <w:rPr>
          <w:b/>
          <w:i/>
          <w:sz w:val="28"/>
          <w:szCs w:val="28"/>
        </w:rPr>
        <w:t>-16.-</w:t>
      </w:r>
    </w:p>
    <w:p w:rsidR="00263244" w:rsidRDefault="00263244" w:rsidP="00263244">
      <w:pPr>
        <w:pStyle w:val="Sinespaciado"/>
        <w:jc w:val="both"/>
        <w:rPr>
          <w:sz w:val="28"/>
          <w:szCs w:val="28"/>
        </w:rPr>
      </w:pPr>
    </w:p>
    <w:p w:rsidR="00263244" w:rsidRPr="00720CDE" w:rsidRDefault="00263244" w:rsidP="00263244">
      <w:pPr>
        <w:pStyle w:val="Sinespaciado"/>
        <w:jc w:val="center"/>
        <w:rPr>
          <w:b/>
          <w:i/>
          <w:sz w:val="28"/>
          <w:szCs w:val="28"/>
        </w:rPr>
      </w:pPr>
      <w:r w:rsidRPr="00720CDE">
        <w:rPr>
          <w:b/>
          <w:i/>
          <w:sz w:val="28"/>
          <w:szCs w:val="28"/>
        </w:rPr>
        <w:t>Resultando</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sidRPr="00720CDE">
        <w:rPr>
          <w:b/>
          <w:sz w:val="28"/>
          <w:szCs w:val="28"/>
        </w:rPr>
        <w:t>1.-</w:t>
      </w:r>
      <w:r w:rsidRPr="00720CDE">
        <w:rPr>
          <w:b/>
          <w:sz w:val="28"/>
          <w:szCs w:val="28"/>
        </w:rPr>
        <w:tab/>
      </w:r>
      <w:r>
        <w:rPr>
          <w:sz w:val="28"/>
          <w:szCs w:val="28"/>
        </w:rPr>
        <w:t>Mediante su Acuerdo No. 7.14 de su sesión Ordinaria No. 38-2015 de la Junta Directiva del Consejo de Transporte Público, de fecha 02 de Julio del año 2015, vino a disponer:</w:t>
      </w:r>
    </w:p>
    <w:p w:rsidR="00263244" w:rsidRDefault="00263244" w:rsidP="00263244">
      <w:pPr>
        <w:pStyle w:val="Sinespaciado"/>
        <w:jc w:val="both"/>
        <w:rPr>
          <w:sz w:val="28"/>
          <w:szCs w:val="28"/>
        </w:rPr>
      </w:pPr>
    </w:p>
    <w:p w:rsidR="00263244" w:rsidRDefault="00263244" w:rsidP="00263244">
      <w:pPr>
        <w:pStyle w:val="Sinespaciado"/>
        <w:ind w:left="567" w:right="616"/>
        <w:jc w:val="both"/>
      </w:pPr>
      <w:r>
        <w:rPr>
          <w:b/>
          <w:bCs/>
        </w:rPr>
        <w:t xml:space="preserve">…”ARTICULO 7.14.- </w:t>
      </w:r>
      <w:r>
        <w:t xml:space="preserve">Se conoce oficio </w:t>
      </w:r>
      <w:r>
        <w:rPr>
          <w:b/>
          <w:bCs/>
        </w:rPr>
        <w:t xml:space="preserve">DE 2015-1970 </w:t>
      </w:r>
      <w:r>
        <w:t>referente al borrador de la propuesta de procedimiento y de los requisitos necesarios para el referendo de los contratos de concesión, sus adendas y modificaciones para el transporte público modalidad ruta regular.</w:t>
      </w:r>
    </w:p>
    <w:p w:rsidR="00263244" w:rsidRDefault="00263244" w:rsidP="00263244">
      <w:pPr>
        <w:pStyle w:val="Sinespaciado"/>
        <w:ind w:left="567" w:right="616"/>
        <w:jc w:val="both"/>
      </w:pPr>
    </w:p>
    <w:p w:rsidR="00263244" w:rsidRDefault="00263244" w:rsidP="00263244">
      <w:pPr>
        <w:pStyle w:val="Default"/>
        <w:ind w:left="567" w:right="616"/>
        <w:jc w:val="both"/>
        <w:rPr>
          <w:sz w:val="22"/>
          <w:szCs w:val="22"/>
        </w:rPr>
      </w:pPr>
      <w:r>
        <w:rPr>
          <w:b/>
          <w:bCs/>
          <w:sz w:val="22"/>
          <w:szCs w:val="22"/>
        </w:rPr>
        <w:t xml:space="preserve">CONSIDERANDO: </w:t>
      </w:r>
    </w:p>
    <w:p w:rsidR="00263244" w:rsidRDefault="00263244" w:rsidP="00263244">
      <w:pPr>
        <w:pStyle w:val="Default"/>
        <w:ind w:left="567" w:right="616"/>
        <w:jc w:val="both"/>
        <w:rPr>
          <w:b/>
          <w:bCs/>
          <w:sz w:val="22"/>
          <w:szCs w:val="22"/>
        </w:rPr>
      </w:pPr>
    </w:p>
    <w:p w:rsidR="00263244" w:rsidRDefault="00263244" w:rsidP="00263244">
      <w:pPr>
        <w:pStyle w:val="Default"/>
        <w:ind w:left="567" w:right="616"/>
        <w:jc w:val="both"/>
        <w:rPr>
          <w:sz w:val="22"/>
          <w:szCs w:val="22"/>
        </w:rPr>
      </w:pPr>
      <w:r>
        <w:rPr>
          <w:b/>
          <w:bCs/>
          <w:sz w:val="22"/>
          <w:szCs w:val="22"/>
        </w:rPr>
        <w:t>ÚNICO</w:t>
      </w:r>
      <w:r>
        <w:rPr>
          <w:sz w:val="22"/>
          <w:szCs w:val="22"/>
        </w:rPr>
        <w:t xml:space="preserve">: Este Órgano Colegiado procede a realizar el análisis del oficio </w:t>
      </w:r>
      <w:r>
        <w:rPr>
          <w:b/>
          <w:bCs/>
          <w:sz w:val="22"/>
          <w:szCs w:val="22"/>
        </w:rPr>
        <w:t xml:space="preserve">DE 2015-1970 </w:t>
      </w:r>
      <w:r>
        <w:rPr>
          <w:sz w:val="22"/>
          <w:szCs w:val="22"/>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Pr>
          <w:b/>
          <w:bCs/>
          <w:sz w:val="22"/>
          <w:szCs w:val="22"/>
        </w:rPr>
        <w:t xml:space="preserve">DE 2015-1970, </w:t>
      </w:r>
      <w:r>
        <w:rPr>
          <w:sz w:val="22"/>
          <w:szCs w:val="22"/>
        </w:rPr>
        <w:t xml:space="preserve">el cual forma parte integral de esta acta. </w:t>
      </w:r>
    </w:p>
    <w:p w:rsidR="00263244" w:rsidRDefault="00263244" w:rsidP="00263244">
      <w:pPr>
        <w:pStyle w:val="Default"/>
        <w:ind w:left="567" w:right="616"/>
        <w:jc w:val="both"/>
        <w:rPr>
          <w:b/>
          <w:bCs/>
          <w:sz w:val="22"/>
          <w:szCs w:val="22"/>
        </w:rPr>
      </w:pPr>
    </w:p>
    <w:p w:rsidR="00263244" w:rsidRDefault="00263244" w:rsidP="00263244">
      <w:pPr>
        <w:pStyle w:val="Default"/>
        <w:ind w:left="567" w:right="616"/>
        <w:jc w:val="both"/>
        <w:rPr>
          <w:sz w:val="22"/>
          <w:szCs w:val="22"/>
        </w:rPr>
      </w:pPr>
      <w:r>
        <w:rPr>
          <w:b/>
          <w:bCs/>
          <w:sz w:val="22"/>
          <w:szCs w:val="22"/>
        </w:rPr>
        <w:t xml:space="preserve">POR TANTO, SE ACUERDA por votación unánime de los presentes: </w:t>
      </w:r>
    </w:p>
    <w:p w:rsidR="00263244" w:rsidRDefault="00263244" w:rsidP="00263244">
      <w:pPr>
        <w:pStyle w:val="Default"/>
        <w:spacing w:after="18"/>
        <w:ind w:left="567" w:right="616"/>
        <w:jc w:val="both"/>
        <w:rPr>
          <w:sz w:val="22"/>
          <w:szCs w:val="22"/>
        </w:rPr>
      </w:pPr>
    </w:p>
    <w:p w:rsidR="00263244" w:rsidRDefault="00263244" w:rsidP="00263244">
      <w:pPr>
        <w:pStyle w:val="Default"/>
        <w:spacing w:after="18"/>
        <w:ind w:left="567" w:right="616"/>
        <w:jc w:val="both"/>
        <w:rPr>
          <w:sz w:val="22"/>
          <w:szCs w:val="22"/>
        </w:rPr>
      </w:pPr>
      <w:r>
        <w:rPr>
          <w:sz w:val="22"/>
          <w:szCs w:val="22"/>
        </w:rPr>
        <w:lastRenderedPageBreak/>
        <w:t>1. Aprobar las recomendaciones emitidas en el informe</w:t>
      </w:r>
      <w:r>
        <w:rPr>
          <w:b/>
          <w:bCs/>
          <w:sz w:val="22"/>
          <w:szCs w:val="22"/>
        </w:rPr>
        <w:t xml:space="preserve">, </w:t>
      </w:r>
      <w:r>
        <w:rPr>
          <w:sz w:val="22"/>
          <w:szCs w:val="22"/>
        </w:rPr>
        <w:t xml:space="preserve">basados en los fundamentos, motivos y contenidos desarrollados en los considerandos del oficio </w:t>
      </w:r>
      <w:r>
        <w:rPr>
          <w:b/>
          <w:bCs/>
          <w:sz w:val="22"/>
          <w:szCs w:val="22"/>
        </w:rPr>
        <w:t>DE 2015-1970</w:t>
      </w:r>
      <w:r>
        <w:rPr>
          <w:sz w:val="22"/>
          <w:szCs w:val="22"/>
        </w:rPr>
        <w:t xml:space="preserve">, el cual forma parte integral de esta acta. </w:t>
      </w:r>
    </w:p>
    <w:p w:rsidR="00263244" w:rsidRDefault="00263244" w:rsidP="00263244">
      <w:pPr>
        <w:pStyle w:val="Default"/>
        <w:ind w:left="567" w:right="616"/>
        <w:jc w:val="both"/>
        <w:rPr>
          <w:sz w:val="22"/>
          <w:szCs w:val="22"/>
        </w:rPr>
      </w:pPr>
    </w:p>
    <w:p w:rsidR="00263244" w:rsidRDefault="00263244" w:rsidP="00263244">
      <w:pPr>
        <w:pStyle w:val="Default"/>
        <w:ind w:left="567" w:right="616"/>
        <w:jc w:val="both"/>
        <w:rPr>
          <w:sz w:val="22"/>
          <w:szCs w:val="22"/>
        </w:rPr>
      </w:pPr>
      <w:r>
        <w:rPr>
          <w:sz w:val="22"/>
          <w:szCs w:val="22"/>
        </w:rPr>
        <w:t xml:space="preserve">2. Aprobar el borrador de la propuesta de procedimiento y de los requisitos necesarios para el refrendo de los contratos de concesión, sus adendas y modificaciones para el transporte público modalidad ruta regular, que literalmente indica: </w:t>
      </w:r>
    </w:p>
    <w:p w:rsidR="00263244" w:rsidRDefault="00263244" w:rsidP="00263244">
      <w:pPr>
        <w:pStyle w:val="Default"/>
        <w:ind w:left="567" w:right="616"/>
        <w:jc w:val="both"/>
        <w:rPr>
          <w:sz w:val="22"/>
          <w:szCs w:val="22"/>
        </w:rPr>
      </w:pPr>
    </w:p>
    <w:p w:rsidR="00263244" w:rsidRDefault="00263244" w:rsidP="00263244">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RESOLUCION DE- _________-2015.- Dirección Ejecutiva </w:t>
      </w:r>
      <w:r>
        <w:rPr>
          <w:rFonts w:ascii="Times New Roman" w:hAnsi="Times New Roman" w:cs="Times New Roman"/>
          <w:sz w:val="23"/>
          <w:szCs w:val="23"/>
        </w:rPr>
        <w:t xml:space="preserve">a las ____ horas, ______ minutos del _____ de julio del año dos mil quince.- </w:t>
      </w:r>
    </w:p>
    <w:p w:rsidR="00263244" w:rsidRDefault="00263244" w:rsidP="00263244">
      <w:pPr>
        <w:pStyle w:val="Default"/>
        <w:ind w:left="567" w:right="616"/>
        <w:jc w:val="both"/>
        <w:rPr>
          <w:rFonts w:ascii="Times New Roman" w:hAnsi="Times New Roman" w:cs="Times New Roman"/>
          <w:sz w:val="23"/>
          <w:szCs w:val="23"/>
        </w:rPr>
      </w:pPr>
    </w:p>
    <w:p w:rsidR="00263244" w:rsidRDefault="00263244" w:rsidP="00263244">
      <w:pPr>
        <w:pStyle w:val="Default"/>
        <w:ind w:left="567" w:right="616"/>
        <w:jc w:val="both"/>
        <w:rPr>
          <w:rFonts w:ascii="Times New Roman" w:hAnsi="Times New Roman" w:cs="Times New Roman"/>
          <w:sz w:val="23"/>
          <w:szCs w:val="23"/>
        </w:rPr>
      </w:pPr>
      <w:r>
        <w:rPr>
          <w:rFonts w:ascii="Times New Roman" w:hAnsi="Times New Roman" w:cs="Times New Roman"/>
          <w:sz w:val="23"/>
          <w:szCs w:val="23"/>
        </w:rPr>
        <w:t xml:space="preserve">Procedimiento para la presentación de los requisitos del refrendo de contratos de concesión, sus adendas y modificaciones para el transporte público, modalidad ruta regular en todo el país. </w:t>
      </w:r>
    </w:p>
    <w:p w:rsidR="00263244" w:rsidRDefault="00263244" w:rsidP="00263244">
      <w:pPr>
        <w:pStyle w:val="Default"/>
        <w:ind w:left="567" w:right="616"/>
        <w:jc w:val="both"/>
        <w:rPr>
          <w:rFonts w:ascii="Times New Roman" w:hAnsi="Times New Roman" w:cs="Times New Roman"/>
          <w:b/>
          <w:bCs/>
          <w:sz w:val="23"/>
          <w:szCs w:val="23"/>
        </w:rPr>
      </w:pPr>
    </w:p>
    <w:p w:rsidR="00263244" w:rsidRDefault="00263244" w:rsidP="00263244">
      <w:pPr>
        <w:pStyle w:val="Default"/>
        <w:ind w:left="567" w:right="616"/>
        <w:jc w:val="center"/>
        <w:rPr>
          <w:rFonts w:ascii="Times New Roman" w:hAnsi="Times New Roman" w:cs="Times New Roman"/>
          <w:sz w:val="23"/>
          <w:szCs w:val="23"/>
        </w:rPr>
      </w:pPr>
      <w:r>
        <w:rPr>
          <w:rFonts w:ascii="Times New Roman" w:hAnsi="Times New Roman" w:cs="Times New Roman"/>
          <w:b/>
          <w:bCs/>
          <w:sz w:val="23"/>
          <w:szCs w:val="23"/>
        </w:rPr>
        <w:t>RESULTANDO:</w:t>
      </w:r>
    </w:p>
    <w:p w:rsidR="00263244" w:rsidRDefault="00263244" w:rsidP="00263244">
      <w:pPr>
        <w:pStyle w:val="Default"/>
        <w:ind w:left="567" w:right="616"/>
        <w:jc w:val="both"/>
        <w:rPr>
          <w:rFonts w:ascii="Times New Roman" w:hAnsi="Times New Roman" w:cs="Times New Roman"/>
          <w:b/>
          <w:bCs/>
          <w:sz w:val="23"/>
          <w:szCs w:val="23"/>
        </w:rPr>
      </w:pPr>
    </w:p>
    <w:p w:rsidR="00263244" w:rsidRDefault="00263244" w:rsidP="00263244">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1.- </w:t>
      </w:r>
      <w:r>
        <w:rPr>
          <w:rFonts w:ascii="Times New Roman" w:hAnsi="Times New Roman" w:cs="Times New Roman"/>
          <w:sz w:val="23"/>
          <w:szCs w:val="23"/>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rsidR="00263244" w:rsidRDefault="00263244" w:rsidP="00263244">
      <w:pPr>
        <w:pStyle w:val="Default"/>
        <w:ind w:left="567" w:right="616"/>
        <w:jc w:val="both"/>
        <w:rPr>
          <w:rFonts w:ascii="Times New Roman" w:hAnsi="Times New Roman" w:cs="Times New Roman"/>
          <w:b/>
          <w:bCs/>
          <w:sz w:val="23"/>
          <w:szCs w:val="23"/>
        </w:rPr>
      </w:pPr>
    </w:p>
    <w:p w:rsidR="00263244" w:rsidRDefault="00263244" w:rsidP="00263244">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2.- </w:t>
      </w:r>
      <w:r>
        <w:rPr>
          <w:rFonts w:ascii="Times New Roman" w:hAnsi="Times New Roman" w:cs="Times New Roman"/>
          <w:sz w:val="23"/>
          <w:szCs w:val="23"/>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rsidR="00263244" w:rsidRDefault="00263244" w:rsidP="00263244">
      <w:pPr>
        <w:pStyle w:val="Default"/>
        <w:ind w:left="567" w:right="616"/>
        <w:jc w:val="both"/>
        <w:rPr>
          <w:rFonts w:ascii="Times New Roman" w:hAnsi="Times New Roman" w:cs="Times New Roman"/>
          <w:b/>
          <w:bCs/>
          <w:sz w:val="23"/>
          <w:szCs w:val="23"/>
        </w:rPr>
      </w:pPr>
    </w:p>
    <w:p w:rsidR="00263244" w:rsidRDefault="00263244" w:rsidP="00263244">
      <w:pPr>
        <w:pStyle w:val="Default"/>
        <w:ind w:left="567" w:right="616"/>
        <w:jc w:val="both"/>
        <w:rPr>
          <w:rFonts w:ascii="Times New Roman" w:hAnsi="Times New Roman" w:cs="Times New Roman"/>
          <w:sz w:val="23"/>
          <w:szCs w:val="23"/>
        </w:rPr>
      </w:pPr>
      <w:r>
        <w:rPr>
          <w:rFonts w:ascii="Times New Roman" w:hAnsi="Times New Roman" w:cs="Times New Roman"/>
          <w:b/>
          <w:bCs/>
          <w:sz w:val="23"/>
          <w:szCs w:val="23"/>
        </w:rPr>
        <w:t xml:space="preserve">3.- </w:t>
      </w:r>
      <w:r>
        <w:rPr>
          <w:rFonts w:ascii="Times New Roman" w:hAnsi="Times New Roman" w:cs="Times New Roman"/>
          <w:sz w:val="23"/>
          <w:szCs w:val="23"/>
        </w:rPr>
        <w:t xml:space="preserve">Que por resolución RRG-5266-2005 de las 8:00 horas del 2 de enero del 2006, la ARESEP estableció el procedimiento y requisitos para el refrendo de contratos de concesión en rutas regulares. </w:t>
      </w:r>
    </w:p>
    <w:p w:rsidR="00263244" w:rsidRDefault="00263244" w:rsidP="00263244">
      <w:pPr>
        <w:pStyle w:val="Sinespaciado"/>
        <w:ind w:left="567" w:right="616"/>
        <w:jc w:val="both"/>
        <w:rPr>
          <w:rFonts w:ascii="Times New Roman" w:hAnsi="Times New Roman" w:cs="Times New Roman"/>
          <w:b/>
          <w:bCs/>
          <w:sz w:val="23"/>
          <w:szCs w:val="23"/>
        </w:rPr>
      </w:pPr>
    </w:p>
    <w:p w:rsidR="00263244" w:rsidRDefault="00263244" w:rsidP="00263244">
      <w:pPr>
        <w:pStyle w:val="Sinespaciado"/>
        <w:ind w:left="567" w:right="616"/>
        <w:jc w:val="center"/>
        <w:rPr>
          <w:rFonts w:ascii="Times New Roman" w:hAnsi="Times New Roman" w:cs="Times New Roman"/>
          <w:b/>
          <w:bCs/>
          <w:sz w:val="23"/>
          <w:szCs w:val="23"/>
        </w:rPr>
      </w:pPr>
      <w:r>
        <w:rPr>
          <w:rFonts w:ascii="Times New Roman" w:hAnsi="Times New Roman" w:cs="Times New Roman"/>
          <w:b/>
          <w:bCs/>
          <w:sz w:val="23"/>
          <w:szCs w:val="23"/>
        </w:rPr>
        <w:t>CONSIDERANDO:</w:t>
      </w:r>
    </w:p>
    <w:p w:rsidR="00263244" w:rsidRDefault="00263244" w:rsidP="00263244">
      <w:pPr>
        <w:pStyle w:val="Sinespaciado"/>
        <w:ind w:left="567" w:right="616"/>
        <w:jc w:val="both"/>
        <w:rPr>
          <w:rFonts w:ascii="Times New Roman" w:hAnsi="Times New Roman" w:cs="Times New Roman"/>
          <w:b/>
          <w:bCs/>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 </w:t>
      </w:r>
      <w:r w:rsidRPr="006E450A">
        <w:rPr>
          <w:rFonts w:ascii="Times New Roman" w:hAnsi="Times New Roman" w:cs="Times New Roman"/>
          <w:color w:val="000000"/>
          <w:sz w:val="23"/>
          <w:szCs w:val="23"/>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 </w:t>
      </w:r>
      <w:r w:rsidRPr="006E450A">
        <w:rPr>
          <w:rFonts w:ascii="Times New Roman" w:hAnsi="Times New Roman" w:cs="Times New Roman"/>
          <w:color w:val="000000"/>
          <w:sz w:val="23"/>
          <w:szCs w:val="23"/>
        </w:rPr>
        <w:t>Que de conformidad con la resolución TAT-2425-2014 dictada por el Tribunal Administrativo de Transporte, la “…</w:t>
      </w:r>
      <w:r w:rsidRPr="006E450A">
        <w:rPr>
          <w:rFonts w:ascii="Times New Roman" w:hAnsi="Times New Roman" w:cs="Times New Roman"/>
          <w:i/>
          <w:iCs/>
          <w:color w:val="000000"/>
          <w:sz w:val="23"/>
          <w:szCs w:val="23"/>
        </w:rPr>
        <w:t xml:space="preserve">Administración, tiene el deber de fiscalizar y verificar la correcta prestación del servicio remunerado de personas que delega en los particulares, pero también </w:t>
      </w:r>
      <w:r w:rsidRPr="006E450A">
        <w:rPr>
          <w:rFonts w:ascii="Times New Roman" w:hAnsi="Times New Roman" w:cs="Times New Roman"/>
          <w:b/>
          <w:bCs/>
          <w:i/>
          <w:iCs/>
          <w:color w:val="000000"/>
          <w:sz w:val="23"/>
          <w:szCs w:val="23"/>
        </w:rPr>
        <w:t>cuenta con la potestad de dictar todas aquellas pautas generales que de acuerdo con criterios técnicos sean necesarias para una mejor prestación del servicio público cedido</w:t>
      </w:r>
      <w:r w:rsidRPr="006E450A">
        <w:rPr>
          <w:rFonts w:ascii="Times New Roman" w:hAnsi="Times New Roman" w:cs="Times New Roman"/>
          <w:i/>
          <w:iCs/>
          <w:color w:val="000000"/>
          <w:sz w:val="23"/>
          <w:szCs w:val="23"/>
        </w:rPr>
        <w:t xml:space="preserve">, para ello con prerrogativas y potestades especiales que le permiten fijar itinerarios, horarios, condiciones y </w:t>
      </w:r>
      <w:r w:rsidRPr="006E450A">
        <w:rPr>
          <w:rFonts w:ascii="Times New Roman" w:hAnsi="Times New Roman" w:cs="Times New Roman"/>
          <w:i/>
          <w:iCs/>
          <w:color w:val="000000"/>
          <w:sz w:val="23"/>
          <w:szCs w:val="23"/>
        </w:rPr>
        <w:lastRenderedPageBreak/>
        <w:t>realizar los estudios técnicos pertinentes, que determinen la mayor eficiencia, continuidad y seguridad de los servicios públicos, para ello puede actuar a través de la creación de reglamentos u otros actos administrativos ordenatorios,</w:t>
      </w:r>
      <w:r w:rsidRPr="006E450A">
        <w:rPr>
          <w:rFonts w:ascii="Times New Roman" w:hAnsi="Times New Roman" w:cs="Times New Roman"/>
          <w:color w:val="000000"/>
          <w:sz w:val="23"/>
          <w:szCs w:val="23"/>
        </w:rPr>
        <w:t xml:space="preserve">…”. (El resaltado es del original).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III.- </w:t>
      </w:r>
      <w:r w:rsidRPr="006E450A">
        <w:rPr>
          <w:rFonts w:ascii="Times New Roman" w:hAnsi="Times New Roman" w:cs="Times New Roman"/>
          <w:color w:val="000000"/>
          <w:sz w:val="23"/>
          <w:szCs w:val="23"/>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IV.- </w:t>
      </w:r>
      <w:r w:rsidRPr="006E450A">
        <w:rPr>
          <w:rFonts w:ascii="Times New Roman" w:hAnsi="Times New Roman" w:cs="Times New Roman"/>
          <w:color w:val="000000"/>
          <w:sz w:val="23"/>
          <w:szCs w:val="23"/>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6E450A">
        <w:rPr>
          <w:rFonts w:ascii="Times New Roman" w:hAnsi="Times New Roman" w:cs="Times New Roman"/>
          <w:i/>
          <w:iCs/>
          <w:color w:val="000000"/>
          <w:sz w:val="23"/>
          <w:szCs w:val="23"/>
        </w:rPr>
        <w:t xml:space="preserve">fin de cumplir con esta obligación, el Ministerio </w:t>
      </w:r>
      <w:r w:rsidRPr="006E450A">
        <w:rPr>
          <w:rFonts w:ascii="Times New Roman" w:hAnsi="Times New Roman" w:cs="Times New Roman"/>
          <w:b/>
          <w:bCs/>
          <w:i/>
          <w:iCs/>
          <w:color w:val="000000"/>
          <w:sz w:val="23"/>
          <w:szCs w:val="23"/>
        </w:rPr>
        <w:t>podrá</w:t>
      </w:r>
      <w:r w:rsidRPr="006E450A">
        <w:rPr>
          <w:rFonts w:ascii="Times New Roman" w:hAnsi="Times New Roman" w:cs="Times New Roman"/>
          <w:i/>
          <w:iCs/>
          <w:color w:val="000000"/>
          <w:sz w:val="23"/>
          <w:szCs w:val="23"/>
        </w:rPr>
        <w:t>: (…) d) Realizar los estudios técnicos indispensables para la mayor eficiencia, continuidad y seguridad de los servicios público</w:t>
      </w:r>
      <w:r w:rsidRPr="006E450A">
        <w:rPr>
          <w:rFonts w:ascii="Times New Roman" w:hAnsi="Times New Roman" w:cs="Times New Roman"/>
          <w:color w:val="000000"/>
          <w:sz w:val="23"/>
          <w:szCs w:val="23"/>
        </w:rPr>
        <w:t xml:space="preserve">…”. (El subrayado y la negrita no es del original). </w:t>
      </w:r>
    </w:p>
    <w:p w:rsidR="00263244" w:rsidRDefault="00263244" w:rsidP="00263244">
      <w:pPr>
        <w:pStyle w:val="Default"/>
        <w:ind w:left="567" w:right="616"/>
        <w:jc w:val="both"/>
        <w:rPr>
          <w:rFonts w:ascii="Times New Roman" w:hAnsi="Times New Roman" w:cs="Times New Roman"/>
          <w:b/>
          <w:bCs/>
          <w:sz w:val="23"/>
          <w:szCs w:val="23"/>
        </w:rPr>
      </w:pPr>
    </w:p>
    <w:p w:rsidR="00263244" w:rsidRDefault="00263244" w:rsidP="00263244">
      <w:pPr>
        <w:pStyle w:val="Default"/>
        <w:ind w:left="567" w:right="616"/>
        <w:jc w:val="both"/>
        <w:rPr>
          <w:b/>
          <w:bCs/>
          <w:sz w:val="23"/>
          <w:szCs w:val="23"/>
        </w:rPr>
      </w:pPr>
      <w:r w:rsidRPr="006E450A">
        <w:rPr>
          <w:rFonts w:ascii="Times New Roman" w:hAnsi="Times New Roman" w:cs="Times New Roman"/>
          <w:b/>
          <w:bCs/>
          <w:sz w:val="23"/>
          <w:szCs w:val="23"/>
        </w:rPr>
        <w:t xml:space="preserve">V.- </w:t>
      </w:r>
      <w:r w:rsidRPr="006E450A">
        <w:rPr>
          <w:rFonts w:ascii="Times New Roman" w:hAnsi="Times New Roman" w:cs="Times New Roman"/>
          <w:sz w:val="23"/>
          <w:szCs w:val="23"/>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6E450A">
        <w:rPr>
          <w:b/>
          <w:bCs/>
          <w:sz w:val="23"/>
          <w:szCs w:val="23"/>
        </w:rPr>
        <w:t xml:space="preserve"> </w:t>
      </w:r>
    </w:p>
    <w:p w:rsidR="00263244" w:rsidRDefault="00263244" w:rsidP="00263244">
      <w:pPr>
        <w:pStyle w:val="Default"/>
        <w:ind w:left="567" w:right="616"/>
        <w:jc w:val="both"/>
        <w:rPr>
          <w:b/>
          <w:bCs/>
          <w:sz w:val="23"/>
          <w:szCs w:val="23"/>
        </w:rPr>
      </w:pPr>
    </w:p>
    <w:p w:rsidR="00263244" w:rsidRPr="006E450A" w:rsidRDefault="00263244" w:rsidP="00263244">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 </w:t>
      </w:r>
      <w:r w:rsidRPr="006E450A">
        <w:rPr>
          <w:rFonts w:ascii="Times New Roman" w:hAnsi="Times New Roman" w:cs="Times New Roman"/>
          <w:sz w:val="23"/>
          <w:szCs w:val="23"/>
        </w:rPr>
        <w:t>Que la Procuraduría General de la República en el Dictamen C-103-2015 del 6 de mayo de 2015, establece que el “…</w:t>
      </w:r>
      <w:r w:rsidRPr="006E450A">
        <w:rPr>
          <w:rFonts w:ascii="Times New Roman" w:hAnsi="Times New Roman" w:cs="Times New Roman"/>
          <w:i/>
          <w:iCs/>
          <w:sz w:val="23"/>
          <w:szCs w:val="23"/>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6E450A">
        <w:rPr>
          <w:rFonts w:ascii="Times New Roman" w:hAnsi="Times New Roman" w:cs="Times New Roman"/>
          <w:sz w:val="23"/>
          <w:szCs w:val="23"/>
        </w:rPr>
        <w:t xml:space="preserve">…”.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lastRenderedPageBreak/>
        <w:t xml:space="preserve">VII.- </w:t>
      </w:r>
      <w:r w:rsidRPr="006E450A">
        <w:rPr>
          <w:rFonts w:ascii="Times New Roman" w:hAnsi="Times New Roman" w:cs="Times New Roman"/>
          <w:color w:val="000000"/>
          <w:sz w:val="23"/>
          <w:szCs w:val="23"/>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6E450A">
        <w:rPr>
          <w:rFonts w:ascii="Times New Roman" w:hAnsi="Times New Roman" w:cs="Times New Roman"/>
          <w:i/>
          <w:iCs/>
          <w:color w:val="000000"/>
          <w:sz w:val="23"/>
          <w:szCs w:val="23"/>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rsidR="00263244" w:rsidRDefault="00263244" w:rsidP="00263244">
      <w:pPr>
        <w:pStyle w:val="Default"/>
        <w:ind w:left="567" w:right="616"/>
        <w:jc w:val="both"/>
        <w:rPr>
          <w:rFonts w:ascii="Times New Roman" w:hAnsi="Times New Roman" w:cs="Times New Roman"/>
          <w:b/>
          <w:bCs/>
          <w:sz w:val="23"/>
          <w:szCs w:val="23"/>
        </w:rPr>
      </w:pPr>
    </w:p>
    <w:p w:rsidR="00263244" w:rsidRPr="006E450A" w:rsidRDefault="00263244" w:rsidP="00263244">
      <w:pPr>
        <w:pStyle w:val="Default"/>
        <w:ind w:left="567" w:right="616"/>
        <w:jc w:val="both"/>
        <w:rPr>
          <w:rFonts w:ascii="Times New Roman" w:hAnsi="Times New Roman" w:cs="Times New Roman"/>
          <w:sz w:val="23"/>
          <w:szCs w:val="23"/>
        </w:rPr>
      </w:pPr>
      <w:r w:rsidRPr="006E450A">
        <w:rPr>
          <w:rFonts w:ascii="Times New Roman" w:hAnsi="Times New Roman" w:cs="Times New Roman"/>
          <w:b/>
          <w:bCs/>
          <w:sz w:val="23"/>
          <w:szCs w:val="23"/>
        </w:rPr>
        <w:t xml:space="preserve">VIII.- </w:t>
      </w:r>
      <w:r w:rsidRPr="006E450A">
        <w:rPr>
          <w:rFonts w:ascii="Times New Roman" w:hAnsi="Times New Roman" w:cs="Times New Roman"/>
          <w:sz w:val="23"/>
          <w:szCs w:val="23"/>
        </w:rPr>
        <w:t>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renovación de concesión. Es menester aclarar, que la autorización de dicha renovación (concesión) y que, de conformidad con el artículo 140 de la LGAP, dichos operarios conservan los derechos de</w:t>
      </w:r>
      <w:r w:rsidRPr="006E450A">
        <w:rPr>
          <w:sz w:val="23"/>
          <w:szCs w:val="23"/>
        </w:rPr>
        <w:t xml:space="preserve"> </w:t>
      </w:r>
      <w:r w:rsidRPr="006E450A">
        <w:rPr>
          <w:rFonts w:ascii="Times New Roman" w:hAnsi="Times New Roman" w:cs="Times New Roman"/>
          <w:sz w:val="23"/>
          <w:szCs w:val="23"/>
        </w:rPr>
        <w:t xml:space="preserve">concesión otorgados, para poder ser objeto de derechos y obligaciones ante el Consejo de Transporte Público (concedente) y terceros.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POR TANTO:</w:t>
      </w:r>
    </w:p>
    <w:p w:rsidR="00263244" w:rsidRPr="006E450A" w:rsidRDefault="00263244" w:rsidP="00263244">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LA DIRECCION EJECUTIVA RESUELVE:</w:t>
      </w:r>
    </w:p>
    <w:p w:rsidR="00263244" w:rsidRDefault="00263244" w:rsidP="00263244">
      <w:pPr>
        <w:autoSpaceDE w:val="0"/>
        <w:autoSpaceDN w:val="0"/>
        <w:adjustRightInd w:val="0"/>
        <w:spacing w:after="0" w:line="240" w:lineRule="auto"/>
        <w:ind w:left="567" w:right="616"/>
        <w:jc w:val="center"/>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 xml:space="preserve">Establecer el siguiente procedimiento para la presentación de los requisitos necesarios para el refrendo de los contratos de concesión, sus adendas y modificaciones, para el transporte público, modalidad ruta regular: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lastRenderedPageBreak/>
        <w:t xml:space="preserve">a.- Dos copias certificadas por notario (a) público (a) de la personería jurídica, cuando el concesionario sea persona jurídica.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b.- Dos copias certificadas por notario (a) público (a) de la cédula de identidad, por ambos lados, o del pasaporte, cuando el concesionario sea persona física.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c.- Estudio técnico de la o las rutas concesionadas, renovadas y/o modificadas, mismo que debe contener como mínimo la siguiente información: </w:t>
      </w:r>
    </w:p>
    <w:p w:rsidR="00263244"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Número de placa, año modelo, capacidad y tipo de automotor para cada una de las unidades autorizadas por el Consejo de Transporte Público.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Detalle de la cantidad de unidades asignadas por ruta y por ramal, así se encuentre unificada la flota.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Demanda de pasajeros, estimación diaria, mensual y anual, por ruta y por ramal.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Esquema de horarios y frecuencias.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Distancia y recorridos en kilómetros de cada ruta y ramal en ambos sentidos.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Croquis del recorrido por ruta y por ramal.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Altimetría, características y estado de la vía por ruta y por ramal.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Análisis de corredor común.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Plan de renovación y mantenimiento de la flota durante el proceso de concesión.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Certificación notarial y registral de la propiedad de la flota autorizada para prestar el servicio. </w:t>
      </w:r>
    </w:p>
    <w:p w:rsidR="00263244" w:rsidRPr="006E450A" w:rsidRDefault="00263244" w:rsidP="00263244">
      <w:pPr>
        <w:autoSpaceDE w:val="0"/>
        <w:autoSpaceDN w:val="0"/>
        <w:adjustRightInd w:val="0"/>
        <w:spacing w:after="27"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Autorización del arrendamiento de vehículos para prestar el servicio, cuando corresponda. </w:t>
      </w: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 Así como suministrar a la administración la información electrónica, muestreos de campo, y la memoria de cálculo que utilizo para el diseño operativo (horarios, flota y demanda).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El plazo de dos meses calendario aquí establecido, podrá ampliarse por un plazo igual, ante solicitud justificada presentada por el concesionario, antes del vencimiento del mismo.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La Dirección de Asuntos Jurídicos verificará el cumplimiento de los aspectos legales y la Dirección Técnica procederá a la valoración del estudio técnico establecido en el punto 1, inciso c) de la presente resolución.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De requerirse algún tipo de subsanación al concesionario, se realizará la prevención correspondiente, otorgándose un plazo máximo de diez días hábiles para su </w:t>
      </w:r>
      <w:r w:rsidRPr="006E450A">
        <w:rPr>
          <w:rFonts w:ascii="Times New Roman" w:hAnsi="Times New Roman" w:cs="Times New Roman"/>
          <w:color w:val="000000"/>
          <w:sz w:val="23"/>
          <w:szCs w:val="23"/>
        </w:rPr>
        <w:lastRenderedPageBreak/>
        <w:t xml:space="preserve">cumplimiento, siendo que de incumplirse con la prevención dentro del plazo dispuesto sin justificante, se procederá al archivo definitivo de la gestión de formalización y apertura de procedimiento de cancelación, previo otorgamiento del debido proceso.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obstante lo anterior, en virtud de la complejidad del estudio técnico o jurídico y en consideración al volumen de trabajo de la Administración este plazo podrá ser ampliado en el tiempo necesario para realizar las valoraciones técnicas y jurídicas.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que mediante acto administrativo válido en firme por parte de este Consejo, ostentan un derecho subjetivo de concesión o renovación de concesión en ruta regular. </w:t>
      </w:r>
    </w:p>
    <w:p w:rsidR="00263244" w:rsidRDefault="00263244" w:rsidP="00263244">
      <w:pPr>
        <w:pStyle w:val="Default"/>
        <w:ind w:left="567" w:right="616"/>
        <w:jc w:val="both"/>
        <w:rPr>
          <w:rFonts w:ascii="Times New Roman" w:hAnsi="Times New Roman" w:cs="Times New Roman"/>
          <w:sz w:val="23"/>
          <w:szCs w:val="23"/>
        </w:rPr>
      </w:pPr>
    </w:p>
    <w:p w:rsidR="00263244" w:rsidRPr="006E450A" w:rsidRDefault="00263244" w:rsidP="00263244">
      <w:pPr>
        <w:pStyle w:val="Default"/>
        <w:ind w:left="567" w:right="616"/>
        <w:jc w:val="both"/>
        <w:rPr>
          <w:rFonts w:ascii="Times New Roman" w:hAnsi="Times New Roman" w:cs="Times New Roman"/>
          <w:sz w:val="23"/>
          <w:szCs w:val="23"/>
        </w:rPr>
      </w:pPr>
      <w:r w:rsidRPr="006E450A">
        <w:rPr>
          <w:rFonts w:ascii="Times New Roman" w:hAnsi="Times New Roman" w:cs="Times New Roman"/>
          <w:sz w:val="23"/>
          <w:szCs w:val="23"/>
        </w:rPr>
        <w:t>5.- Los efectos del acto administrativo de autorización y/o renovación de concesión de ruta regular son válidos, con eficacia suspendida al refrendo de la ARESEP, y que los</w:t>
      </w:r>
      <w:r w:rsidRPr="006E450A">
        <w:rPr>
          <w:sz w:val="23"/>
          <w:szCs w:val="23"/>
        </w:rPr>
        <w:t xml:space="preserve"> </w:t>
      </w:r>
      <w:r w:rsidRPr="006E450A">
        <w:rPr>
          <w:rFonts w:ascii="Times New Roman" w:hAnsi="Times New Roman" w:cs="Times New Roman"/>
          <w:sz w:val="23"/>
          <w:szCs w:val="23"/>
        </w:rPr>
        <w:t xml:space="preserve">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6.- La condición de PERMISIONARIO temporal y extraordinariamente a los OPERADORES fenecerá en el mismo momento en que cada OPERADOR individual obtenga el refrendo de su contrato de concesión.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p>
    <w:p w:rsidR="00263244" w:rsidRPr="006E450A" w:rsidRDefault="00263244" w:rsidP="00263244">
      <w:pPr>
        <w:autoSpaceDE w:val="0"/>
        <w:autoSpaceDN w:val="0"/>
        <w:adjustRightInd w:val="0"/>
        <w:spacing w:after="0" w:line="240" w:lineRule="auto"/>
        <w:ind w:left="567" w:right="616"/>
        <w:jc w:val="both"/>
        <w:rPr>
          <w:rFonts w:ascii="Times New Roman" w:hAnsi="Times New Roman" w:cs="Times New Roman"/>
          <w:color w:val="000000"/>
          <w:sz w:val="23"/>
          <w:szCs w:val="23"/>
        </w:rPr>
      </w:pPr>
      <w:r w:rsidRPr="006E450A">
        <w:rPr>
          <w:rFonts w:ascii="Times New Roman" w:hAnsi="Times New Roman" w:cs="Times New Roman"/>
          <w:color w:val="000000"/>
          <w:sz w:val="23"/>
          <w:szCs w:val="23"/>
        </w:rPr>
        <w:t xml:space="preserve">7.- Notifíquese a cada uno de los concesionarios de ruta regular y publíquese en el Diario Oficial La Gaceta.- </w:t>
      </w:r>
    </w:p>
    <w:p w:rsidR="00263244" w:rsidRDefault="00263244" w:rsidP="00263244">
      <w:pPr>
        <w:autoSpaceDE w:val="0"/>
        <w:autoSpaceDN w:val="0"/>
        <w:adjustRightInd w:val="0"/>
        <w:spacing w:after="0" w:line="240" w:lineRule="auto"/>
        <w:ind w:left="567" w:right="616"/>
        <w:jc w:val="both"/>
        <w:rPr>
          <w:rFonts w:ascii="Times New Roman" w:hAnsi="Times New Roman" w:cs="Times New Roman"/>
          <w:b/>
          <w:bCs/>
          <w:color w:val="000000"/>
          <w:sz w:val="23"/>
          <w:szCs w:val="23"/>
        </w:rPr>
      </w:pPr>
    </w:p>
    <w:p w:rsidR="00263244" w:rsidRPr="006E450A" w:rsidRDefault="00263244" w:rsidP="00263244">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DIRECCIÓN EJECUTIVA</w:t>
      </w:r>
    </w:p>
    <w:p w:rsidR="00263244" w:rsidRPr="006E450A" w:rsidRDefault="00263244" w:rsidP="00263244">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LIC. MARIO ZÁRATE SÁNCHEZ</w:t>
      </w:r>
    </w:p>
    <w:p w:rsidR="00263244" w:rsidRPr="006E450A" w:rsidRDefault="00263244" w:rsidP="00263244">
      <w:pPr>
        <w:autoSpaceDE w:val="0"/>
        <w:autoSpaceDN w:val="0"/>
        <w:adjustRightInd w:val="0"/>
        <w:spacing w:after="0" w:line="240" w:lineRule="auto"/>
        <w:ind w:left="567" w:right="616"/>
        <w:jc w:val="center"/>
        <w:rPr>
          <w:rFonts w:ascii="Times New Roman" w:hAnsi="Times New Roman" w:cs="Times New Roman"/>
          <w:color w:val="000000"/>
          <w:sz w:val="23"/>
          <w:szCs w:val="23"/>
        </w:rPr>
      </w:pPr>
      <w:r w:rsidRPr="006E450A">
        <w:rPr>
          <w:rFonts w:ascii="Times New Roman" w:hAnsi="Times New Roman" w:cs="Times New Roman"/>
          <w:b/>
          <w:bCs/>
          <w:color w:val="000000"/>
          <w:sz w:val="23"/>
          <w:szCs w:val="23"/>
        </w:rPr>
        <w:t>DIRECTOR EJECUTIVO”</w:t>
      </w:r>
    </w:p>
    <w:p w:rsidR="00263244" w:rsidRDefault="00263244" w:rsidP="00263244">
      <w:pPr>
        <w:autoSpaceDE w:val="0"/>
        <w:autoSpaceDN w:val="0"/>
        <w:adjustRightInd w:val="0"/>
        <w:spacing w:after="18" w:line="240" w:lineRule="auto"/>
        <w:ind w:left="567" w:right="616"/>
        <w:jc w:val="both"/>
        <w:rPr>
          <w:rFonts w:ascii="Calibri" w:hAnsi="Calibri" w:cs="Calibri"/>
          <w:color w:val="000000"/>
        </w:rPr>
      </w:pPr>
    </w:p>
    <w:p w:rsidR="00263244" w:rsidRPr="006E450A" w:rsidRDefault="00263244" w:rsidP="00263244">
      <w:pPr>
        <w:autoSpaceDE w:val="0"/>
        <w:autoSpaceDN w:val="0"/>
        <w:adjustRightInd w:val="0"/>
        <w:spacing w:after="18" w:line="240" w:lineRule="auto"/>
        <w:ind w:left="567" w:right="616"/>
        <w:jc w:val="both"/>
        <w:rPr>
          <w:rFonts w:ascii="Calibri" w:hAnsi="Calibri" w:cs="Calibri"/>
          <w:color w:val="000000"/>
        </w:rPr>
      </w:pPr>
      <w:r w:rsidRPr="006E450A">
        <w:rPr>
          <w:rFonts w:ascii="Calibri" w:hAnsi="Calibri" w:cs="Calibri"/>
          <w:color w:val="000000"/>
        </w:rPr>
        <w:t xml:space="preserve">3. Notifíquese: Dirección Ejecutiva a los correos mfallas@ctp.go.cr, sfonseca@ctp.go.cr y ameneses@ctp.go.cr / Departamento de Administración de Concesiones y Permisos a los correos ecambronero@ctp.go.cr, cchinchilla@ctp.go.cr y daguero@ctp.go.cr / Dirección de Asuntos Jurídicos al correo scerdas@ctp.go.cr </w:t>
      </w:r>
    </w:p>
    <w:p w:rsidR="00263244" w:rsidRDefault="00263244" w:rsidP="00263244">
      <w:pPr>
        <w:autoSpaceDE w:val="0"/>
        <w:autoSpaceDN w:val="0"/>
        <w:adjustRightInd w:val="0"/>
        <w:spacing w:after="0" w:line="240" w:lineRule="auto"/>
        <w:ind w:left="567" w:right="616"/>
        <w:jc w:val="both"/>
        <w:rPr>
          <w:rFonts w:ascii="Calibri" w:hAnsi="Calibri" w:cs="Calibri"/>
          <w:b/>
          <w:bCs/>
          <w:color w:val="000000"/>
        </w:rPr>
      </w:pPr>
    </w:p>
    <w:p w:rsidR="00263244" w:rsidRPr="006E450A" w:rsidRDefault="00263244" w:rsidP="00263244">
      <w:pPr>
        <w:autoSpaceDE w:val="0"/>
        <w:autoSpaceDN w:val="0"/>
        <w:adjustRightInd w:val="0"/>
        <w:spacing w:after="0" w:line="240" w:lineRule="auto"/>
        <w:ind w:left="567" w:right="616"/>
        <w:jc w:val="both"/>
        <w:rPr>
          <w:rFonts w:ascii="Calibri" w:hAnsi="Calibri" w:cs="Calibri"/>
          <w:color w:val="000000"/>
        </w:rPr>
      </w:pPr>
      <w:r w:rsidRPr="006E450A">
        <w:rPr>
          <w:rFonts w:ascii="Calibri" w:hAnsi="Calibri" w:cs="Calibri"/>
          <w:b/>
          <w:bCs/>
          <w:color w:val="000000"/>
        </w:rPr>
        <w:t xml:space="preserve">4. Se declara firme.- </w:t>
      </w:r>
      <w:r>
        <w:rPr>
          <w:rFonts w:ascii="Calibri" w:hAnsi="Calibri" w:cs="Calibri"/>
          <w:b/>
          <w:bCs/>
          <w:color w:val="000000"/>
        </w:rPr>
        <w:t>“…</w:t>
      </w:r>
    </w:p>
    <w:p w:rsidR="00263244" w:rsidRDefault="00263244" w:rsidP="00263244">
      <w:pPr>
        <w:pStyle w:val="Sinespaciado"/>
        <w:jc w:val="both"/>
        <w:rPr>
          <w:rFonts w:ascii="Times New Roman" w:hAnsi="Times New Roman" w:cs="Times New Roman"/>
          <w:b/>
          <w:bCs/>
          <w:sz w:val="23"/>
          <w:szCs w:val="23"/>
        </w:rPr>
      </w:pPr>
    </w:p>
    <w:p w:rsidR="00263244" w:rsidRDefault="00263244" w:rsidP="00263244">
      <w:pPr>
        <w:pStyle w:val="Sinespaciado"/>
        <w:jc w:val="both"/>
        <w:rPr>
          <w:rFonts w:ascii="Times New Roman" w:hAnsi="Times New Roman" w:cs="Times New Roman"/>
          <w:b/>
          <w:bCs/>
          <w:sz w:val="23"/>
          <w:szCs w:val="23"/>
        </w:rPr>
      </w:pPr>
    </w:p>
    <w:p w:rsidR="00263244" w:rsidRDefault="00263244" w:rsidP="00263244">
      <w:pPr>
        <w:pStyle w:val="Sinespaciado"/>
        <w:jc w:val="both"/>
        <w:rPr>
          <w:sz w:val="28"/>
          <w:szCs w:val="28"/>
        </w:rPr>
      </w:pPr>
      <w:r w:rsidRPr="00720CDE">
        <w:rPr>
          <w:b/>
          <w:sz w:val="28"/>
          <w:szCs w:val="28"/>
        </w:rPr>
        <w:t>2.-</w:t>
      </w:r>
      <w:r>
        <w:rPr>
          <w:sz w:val="28"/>
          <w:szCs w:val="28"/>
        </w:rPr>
        <w:tab/>
        <w:t>Conocedora del Acto antes Transcrito, la Firma indicada en el encabezado de esta Resolución, mediante Escrito presentado ante la Ventanilla Única del Consejo de Transporte Público en fecha 15 de Julio del 2015, interpone formales Recursos de Revocatoria con Apelación en subsidio y Nulidad Absoluta concomitante contra el Acuerdo en cuestión. Expresando como Argumentos de Impugnación y Nulidad, esencialmente, los siguientes:</w:t>
      </w:r>
    </w:p>
    <w:p w:rsidR="00263244" w:rsidRDefault="00263244" w:rsidP="00263244">
      <w:pPr>
        <w:pStyle w:val="Sinespaciado"/>
        <w:jc w:val="both"/>
        <w:rPr>
          <w:sz w:val="28"/>
          <w:szCs w:val="28"/>
        </w:rPr>
      </w:pPr>
    </w:p>
    <w:p w:rsidR="00263244" w:rsidRDefault="00263244" w:rsidP="00263244">
      <w:pPr>
        <w:pStyle w:val="Sinespaciado"/>
        <w:numPr>
          <w:ilvl w:val="0"/>
          <w:numId w:val="1"/>
        </w:numPr>
        <w:jc w:val="both"/>
        <w:rPr>
          <w:sz w:val="28"/>
          <w:szCs w:val="28"/>
        </w:rPr>
      </w:pPr>
      <w:r>
        <w:rPr>
          <w:sz w:val="28"/>
          <w:szCs w:val="28"/>
        </w:rPr>
        <w:t>Que los Plazos Otorgados para Cumplir con los Requisitos para el Refrendo de su Contrato de Concesión es muy corto y contrario a lo oportuno, conveniente y razonable. Particularmente lo relativo al Estudio de Demanda (sentido laxo).</w:t>
      </w:r>
    </w:p>
    <w:p w:rsidR="00263244" w:rsidRDefault="00263244" w:rsidP="00263244">
      <w:pPr>
        <w:pStyle w:val="Sinespaciado"/>
        <w:numPr>
          <w:ilvl w:val="0"/>
          <w:numId w:val="1"/>
        </w:numPr>
        <w:jc w:val="both"/>
        <w:rPr>
          <w:sz w:val="28"/>
          <w:szCs w:val="28"/>
        </w:rPr>
      </w:pPr>
      <w:r>
        <w:rPr>
          <w:sz w:val="28"/>
          <w:szCs w:val="28"/>
        </w:rPr>
        <w:t>Que desconoce el contenido del Contrato de Concesión que debería de firmar y que es menester se le brinde esa oportunidad de forma antelada y con debido tiempo.</w:t>
      </w:r>
    </w:p>
    <w:p w:rsidR="00263244" w:rsidRDefault="00263244" w:rsidP="00263244">
      <w:pPr>
        <w:pStyle w:val="Sinespaciado"/>
        <w:numPr>
          <w:ilvl w:val="0"/>
          <w:numId w:val="1"/>
        </w:numPr>
        <w:jc w:val="both"/>
        <w:rPr>
          <w:sz w:val="28"/>
          <w:szCs w:val="28"/>
        </w:rPr>
      </w:pPr>
      <w:r>
        <w:rPr>
          <w:sz w:val="28"/>
          <w:szCs w:val="28"/>
        </w:rPr>
        <w:t>Que se le están Trasladando indebidamente a los Concesionarios obligaciones en cuanto a los requisitos de Refrendo, pues los mismos deben ser cumplidos por el Consejo de Transporte Público y no por ellos. Particularmente lo relativo al Estudio de Demanda (</w:t>
      </w:r>
      <w:r w:rsidRPr="00B05124">
        <w:rPr>
          <w:i/>
          <w:sz w:val="28"/>
          <w:szCs w:val="28"/>
        </w:rPr>
        <w:t>sentido laxo</w:t>
      </w:r>
      <w:r>
        <w:rPr>
          <w:sz w:val="28"/>
          <w:szCs w:val="28"/>
        </w:rPr>
        <w:t>).</w:t>
      </w:r>
    </w:p>
    <w:p w:rsidR="00263244" w:rsidRDefault="00263244" w:rsidP="00263244">
      <w:pPr>
        <w:pStyle w:val="Sinespaciado"/>
        <w:numPr>
          <w:ilvl w:val="0"/>
          <w:numId w:val="1"/>
        </w:numPr>
        <w:jc w:val="both"/>
        <w:rPr>
          <w:sz w:val="28"/>
          <w:szCs w:val="28"/>
        </w:rPr>
      </w:pPr>
      <w:r>
        <w:rPr>
          <w:sz w:val="28"/>
          <w:szCs w:val="28"/>
        </w:rPr>
        <w:t>Pide que se le Otorgue un Plazo mayor para Cumplir con la presentación de los Requisitos en cuestión, primordialmente en lo que ataña al referido Estudio de Demanda.</w:t>
      </w:r>
    </w:p>
    <w:p w:rsidR="00263244" w:rsidRDefault="00263244" w:rsidP="00263244">
      <w:pPr>
        <w:pStyle w:val="Sinespaciado"/>
        <w:numPr>
          <w:ilvl w:val="0"/>
          <w:numId w:val="1"/>
        </w:numPr>
        <w:jc w:val="both"/>
        <w:rPr>
          <w:sz w:val="28"/>
          <w:szCs w:val="28"/>
        </w:rPr>
      </w:pPr>
      <w:r>
        <w:rPr>
          <w:sz w:val="28"/>
          <w:szCs w:val="28"/>
        </w:rPr>
        <w:t>Y, finalmente, cuestiona que en el tanto que se les refrende su Contrato de Concesión, se le brinde Condición de Permisionaria.</w:t>
      </w:r>
    </w:p>
    <w:p w:rsidR="00263244" w:rsidRDefault="00263244" w:rsidP="00263244">
      <w:pPr>
        <w:pStyle w:val="Sinespaciado"/>
        <w:numPr>
          <w:ilvl w:val="0"/>
          <w:numId w:val="1"/>
        </w:numPr>
        <w:jc w:val="both"/>
        <w:rPr>
          <w:sz w:val="28"/>
          <w:szCs w:val="28"/>
        </w:rPr>
      </w:pPr>
      <w:r>
        <w:rPr>
          <w:sz w:val="28"/>
          <w:szCs w:val="28"/>
        </w:rPr>
        <w:t>Que no resulta Válido que se Utilice el Argumento de que sin algún tipo de Autorización para Operar el Servicio, ARESEP no daría Tarifas, pues en lo real la Operación misma del Servicio, aun sin una Autorización (Concesión o Permiso), conllevan su Derecho Tarifario y la ARESEP no podría negarse a otorgarlo.</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sidRPr="00720CDE">
        <w:rPr>
          <w:b/>
          <w:sz w:val="28"/>
          <w:szCs w:val="28"/>
        </w:rPr>
        <w:t>3.-</w:t>
      </w:r>
      <w:r>
        <w:rPr>
          <w:sz w:val="28"/>
          <w:szCs w:val="28"/>
        </w:rPr>
        <w:tab/>
        <w:t xml:space="preserve">Luego de conocer primariamente del asunto y ante la recomendación de su Dirección de Asuntos Jurídicos (OFICIO No. DAJ-2016-000943 DEL 10 DE MARZO DEL 2016), la Junta Directiva del Consejo de Transporte Público mediante su Acuerdo No. 7.3.4 de su Sesión Ordinaria No. 13-2016, de fecha 16 de Marzo del 2016, dispone Rechazar la Revocatoria y la Nulidad </w:t>
      </w:r>
      <w:r>
        <w:rPr>
          <w:sz w:val="28"/>
          <w:szCs w:val="28"/>
        </w:rPr>
        <w:lastRenderedPageBreak/>
        <w:t>presentadas por la Empresa antes dicha. Ordenando elevar el Caso para ante este Tribunal.</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sidRPr="00720CDE">
        <w:rPr>
          <w:b/>
          <w:sz w:val="28"/>
          <w:szCs w:val="28"/>
        </w:rPr>
        <w:t>4.-</w:t>
      </w:r>
      <w:r>
        <w:rPr>
          <w:sz w:val="28"/>
          <w:szCs w:val="28"/>
        </w:rPr>
        <w:tab/>
        <w:t>Recibido por este Tribunal el Recurso de Apelación en subsidio y su Nulidad Absoluta concomitante, se previno al Consejo de Transporte Público para que brindara Información sobre la Presentación de los Requisitos de Refrendo por parte de la Recurrente y sobre otros Aspectos Pertinentes. Y, en lo particular, la Directora Técnica del Consejo de Transporte Público mediante Oficios DTE-16-0505 del 28 de Abril del 2016 y DTE-2016-0530 del 16 de Mayo del 2016, señala, en lo de interés, que la Empresa Recurrente SÍ CUMPLIÓ ANTES DEL 31 DE DICIEMBRE DEL 2015 CON LA PRESENTACIÓN DE LOS REQUISITOS DE REFRENDO. Que se 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Que se siguen recibiendo Documentos o Requisitos de Refrendo. Y se remite copia del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-de ser de su aceptación- de comunicarlos a Consejo en cuestión. O bien, esperar hasta que el Consejo los realizara dentro del ámbito de sus recursos y posibilidades humanas y materiales.</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sidRPr="00720CDE">
        <w:rPr>
          <w:b/>
          <w:sz w:val="28"/>
          <w:szCs w:val="28"/>
        </w:rPr>
        <w:t>5.-</w:t>
      </w:r>
      <w:r>
        <w:rPr>
          <w:sz w:val="28"/>
          <w:szCs w:val="28"/>
        </w:rPr>
        <w:tab/>
        <w:t>Completado así el Expediente del Caso y el Marco Fáctico y Jurídico para poder resolver, conforme a los Términos y Prescripciones de Ley procede a definir este Tribunal.</w:t>
      </w:r>
    </w:p>
    <w:p w:rsidR="00263244" w:rsidRDefault="00263244" w:rsidP="00263244">
      <w:pPr>
        <w:pStyle w:val="Sinespaciado"/>
        <w:jc w:val="both"/>
        <w:rPr>
          <w:b/>
          <w:i/>
          <w:sz w:val="28"/>
          <w:szCs w:val="28"/>
        </w:rPr>
      </w:pPr>
    </w:p>
    <w:p w:rsidR="00263244" w:rsidRPr="00720CDE" w:rsidRDefault="00263244" w:rsidP="00263244">
      <w:pPr>
        <w:pStyle w:val="Sinespaciado"/>
        <w:jc w:val="both"/>
        <w:rPr>
          <w:b/>
          <w:i/>
          <w:sz w:val="28"/>
          <w:szCs w:val="28"/>
        </w:rPr>
      </w:pPr>
      <w:r w:rsidRPr="00720CDE">
        <w:rPr>
          <w:b/>
          <w:i/>
          <w:sz w:val="28"/>
          <w:szCs w:val="28"/>
        </w:rPr>
        <w:t>REDACTA EL JUEZ QUESADA AGUIRRE,</w:t>
      </w:r>
    </w:p>
    <w:p w:rsidR="00263244" w:rsidRPr="00720CDE" w:rsidRDefault="00263244" w:rsidP="00263244">
      <w:pPr>
        <w:pStyle w:val="Sinespaciado"/>
        <w:jc w:val="both"/>
        <w:rPr>
          <w:b/>
          <w:i/>
          <w:sz w:val="28"/>
          <w:szCs w:val="28"/>
        </w:rPr>
      </w:pPr>
    </w:p>
    <w:p w:rsidR="00263244" w:rsidRPr="00720CDE" w:rsidRDefault="00263244" w:rsidP="00263244">
      <w:pPr>
        <w:pStyle w:val="Sinespaciado"/>
        <w:jc w:val="center"/>
        <w:rPr>
          <w:b/>
          <w:i/>
          <w:sz w:val="28"/>
          <w:szCs w:val="28"/>
        </w:rPr>
      </w:pPr>
      <w:r w:rsidRPr="00720CDE">
        <w:rPr>
          <w:b/>
          <w:i/>
          <w:sz w:val="28"/>
          <w:szCs w:val="28"/>
        </w:rPr>
        <w:t>Considerando Único</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lastRenderedPageBreak/>
        <w:t>Estudiado el Caso y Visto Todos los Antecedentes que lo Integran y que Obran en el Expediente Particular, estima este Tribunal que las Acciones de Impugnación que se atienden Devienen en IMPROCEDENTES por Faltas de Interés Actual y de Legitimación debidas, según se explica de seguido.</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En cuanto al punto de objeción o impugnación constituido por el Plazo Otorgado a los Concesionarios para presentar los Requisitos para el Refrendo de sus Contratos, ya fuera que se tratase de Casos de Renovación de Concesiones, ya fuera que se tratare de Casos de Nuevas Concesiones, a tenor de lo determinado por la Ley No. 8826. Plazo que Originalmente fue de DOS MESES y que fuera ampliado hasta el 31 de Diciembre del año 2015 y que, además, se Mantiene Abierto, a tenor de lo que nos señala al Dirección Técnica del Consejo de Transporte Público en sus Oficios Nos. DTE-16-0505 del 28 de Abril del 2016 y DTE-2016-0530 del 16 de Mayo del 2016 y en los Antecedentes que los Acompañan. Amén de que la Empresa Recurrente PRESENTÓ EN TIEMPO Y ANTES DE LA FECHA SEÑALADA LOS REQUISITOS PERTINENTES (</w:t>
      </w:r>
      <w:r w:rsidRPr="005B7129">
        <w:rPr>
          <w:i/>
          <w:sz w:val="28"/>
          <w:szCs w:val="28"/>
        </w:rPr>
        <w:t>Teoría del Acto Consentido, artículos 38, inciso 1), del CPCA y 30, inciso ch) de la LJC</w:t>
      </w:r>
      <w:r>
        <w:rPr>
          <w:sz w:val="28"/>
          <w:szCs w:val="28"/>
        </w:rPr>
        <w:t>). Lo cual determina que lo de su Reclamo NO PRESENT</w:t>
      </w:r>
      <w:r w:rsidR="005854BC">
        <w:rPr>
          <w:sz w:val="28"/>
          <w:szCs w:val="28"/>
        </w:rPr>
        <w:t>A</w:t>
      </w:r>
      <w:r>
        <w:rPr>
          <w:sz w:val="28"/>
          <w:szCs w:val="28"/>
        </w:rPr>
        <w:t xml:space="preserve"> INTERÉS ACTUAL.</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Unido a ello, dadas las Ampliaciones del Plazo Objetado y la Apertura y Tolerancia del Consejo de Transporte Público en cuanto a los Plazos de Presentación y de Correcciones o Subsanaciones (prevenciones), aplicándose Tiempos Dilatorios y No Perentorios y No Afectándose a Ninguna Empresa; inclusive, dándose Ampliaciones a los Plazos (</w:t>
      </w:r>
      <w:r w:rsidRPr="00720CDE">
        <w:rPr>
          <w:i/>
          <w:sz w:val="28"/>
          <w:szCs w:val="28"/>
        </w:rPr>
        <w:t>Acuerdo No. 7.2 de la Sesión Ordinaria No. 25-2015 de la Junta Directiva del Consejo de Transporte Público</w:t>
      </w:r>
      <w:r>
        <w:rPr>
          <w:sz w:val="28"/>
          <w:szCs w:val="28"/>
        </w:rPr>
        <w:t>), no se determina ningún Derecho Subjetivo o Interés Legítimo Afectados o Potencialmente Afectado en cuanto a la Accionante, lo cual Descarta su Debida Legitimación para Impugnar y la Procedencia de sus Acciones. Lo cual conlleva la Falta de legitimación en cuanto al Aspecto referido, según lo que determina el Artículo 275 de la Ley General de la Administración Pública.</w:t>
      </w:r>
    </w:p>
    <w:p w:rsidR="00263244" w:rsidRDefault="00263244" w:rsidP="00263244">
      <w:pPr>
        <w:pStyle w:val="Sinespaciado"/>
        <w:jc w:val="both"/>
        <w:rPr>
          <w:sz w:val="28"/>
          <w:szCs w:val="28"/>
        </w:rPr>
      </w:pPr>
    </w:p>
    <w:p w:rsidR="00263244" w:rsidRPr="00F86301" w:rsidRDefault="00263244" w:rsidP="00263244">
      <w:pPr>
        <w:spacing w:line="240" w:lineRule="auto"/>
        <w:jc w:val="both"/>
        <w:rPr>
          <w:sz w:val="28"/>
          <w:szCs w:val="28"/>
          <w:lang w:val="es-MX"/>
        </w:rPr>
      </w:pPr>
      <w:r w:rsidRPr="00F86301">
        <w:rPr>
          <w:sz w:val="28"/>
          <w:szCs w:val="28"/>
          <w:lang w:val="es-MX"/>
        </w:rPr>
        <w:t>En lo que nos interesa, el autor y conocido tratadista jurídico, José Chiovenda, muy claramente nos indica que</w:t>
      </w:r>
      <w:r>
        <w:rPr>
          <w:sz w:val="28"/>
          <w:szCs w:val="28"/>
          <w:lang w:val="es-MX"/>
        </w:rPr>
        <w:t xml:space="preserve"> </w:t>
      </w:r>
      <w:r w:rsidRPr="00F86301">
        <w:rPr>
          <w:sz w:val="28"/>
          <w:szCs w:val="28"/>
          <w:lang w:val="es-MX"/>
        </w:rPr>
        <w:t xml:space="preserve">…”En todo proceso, existen los presupuestos de fondo, relacionados con el </w:t>
      </w:r>
      <w:r w:rsidRPr="00F86301">
        <w:rPr>
          <w:sz w:val="28"/>
          <w:szCs w:val="28"/>
          <w:u w:val="single"/>
          <w:lang w:val="es-MX"/>
        </w:rPr>
        <w:t>derecho tutelar de la pretensión, la legitimación en la causa y el interés actual</w:t>
      </w:r>
      <w:r w:rsidRPr="00F86301">
        <w:rPr>
          <w:sz w:val="28"/>
          <w:szCs w:val="28"/>
          <w:lang w:val="es-MX"/>
        </w:rPr>
        <w:t xml:space="preserve">. Sí es entendido que </w:t>
      </w:r>
      <w:r w:rsidRPr="00F86301">
        <w:rPr>
          <w:b/>
          <w:sz w:val="28"/>
          <w:szCs w:val="28"/>
          <w:lang w:val="es-MX"/>
        </w:rPr>
        <w:t xml:space="preserve">una acción deviene en frustránea cuando falta cualquiera de los presupuestos de fondo: derecho real o personal, interés actual y legitimación. </w:t>
      </w:r>
      <w:r w:rsidRPr="00F86301">
        <w:rPr>
          <w:sz w:val="28"/>
          <w:szCs w:val="28"/>
          <w:lang w:val="es-MX"/>
        </w:rPr>
        <w:t xml:space="preserve">En las causas sometidas a su </w:t>
      </w:r>
      <w:r w:rsidRPr="00F86301">
        <w:rPr>
          <w:sz w:val="28"/>
          <w:szCs w:val="28"/>
          <w:lang w:val="es-MX"/>
        </w:rPr>
        <w:lastRenderedPageBreak/>
        <w:t xml:space="preserve">conocimiento, el Juez está obligado a realizar, incluso, en forma oficiosa, los presupuestos de toda demanda, a saber: derecho, legitimación (activa o pasiva) y el interés actual.”… (Chiovenda, José: </w:t>
      </w:r>
      <w:r w:rsidRPr="00F86301">
        <w:rPr>
          <w:b/>
          <w:i/>
          <w:sz w:val="28"/>
          <w:szCs w:val="28"/>
          <w:u w:val="single"/>
          <w:lang w:val="es-MX"/>
        </w:rPr>
        <w:t>Principios de Derecho Procesal Civil</w:t>
      </w:r>
      <w:r w:rsidRPr="00F86301">
        <w:rPr>
          <w:sz w:val="28"/>
          <w:szCs w:val="28"/>
          <w:lang w:val="es-MX"/>
        </w:rPr>
        <w:t xml:space="preserve">, Tomo I, Pág. 178). Y a tales presupuestos: </w:t>
      </w:r>
      <w:r w:rsidRPr="00F86301">
        <w:rPr>
          <w:b/>
          <w:sz w:val="28"/>
          <w:szCs w:val="28"/>
          <w:lang w:val="es-MX"/>
        </w:rPr>
        <w:t>DERECHO, LEGITIMACIÓN ACTIVA E INTERES LEGÍTIMO son de los que Adolece el Accionante, debiendo así determinarse la IMPROCEDENCIA del Recurso que nos ocupa</w:t>
      </w:r>
      <w:r w:rsidRPr="00F86301">
        <w:rPr>
          <w:sz w:val="28"/>
          <w:szCs w:val="28"/>
          <w:lang w:val="es-MX"/>
        </w:rPr>
        <w:t>.</w:t>
      </w:r>
    </w:p>
    <w:p w:rsidR="00263244" w:rsidRPr="00F86301" w:rsidRDefault="00263244" w:rsidP="00263244">
      <w:pPr>
        <w:pStyle w:val="Sinespaciado"/>
        <w:jc w:val="both"/>
        <w:rPr>
          <w:rFonts w:ascii="Times New Roman" w:hAnsi="Times New Roman"/>
          <w:sz w:val="28"/>
          <w:szCs w:val="28"/>
          <w:lang w:val="es-ES"/>
        </w:rPr>
      </w:pPr>
    </w:p>
    <w:p w:rsidR="00263244" w:rsidRPr="00F86301" w:rsidRDefault="00263244" w:rsidP="00263244">
      <w:pPr>
        <w:pStyle w:val="Sinespaciado"/>
        <w:jc w:val="both"/>
        <w:rPr>
          <w:sz w:val="28"/>
          <w:szCs w:val="28"/>
          <w:lang w:val="es-ES"/>
        </w:rPr>
      </w:pPr>
      <w:r w:rsidRPr="00F86301">
        <w:rPr>
          <w:sz w:val="28"/>
          <w:szCs w:val="28"/>
          <w:lang w:val="es-ES"/>
        </w:rPr>
        <w:t>En cuanto al aspecto señalado, el artículo 275 de la Ley General de la Administración Pública indica lo siguiente:</w:t>
      </w:r>
    </w:p>
    <w:p w:rsidR="00263244" w:rsidRPr="005B7129" w:rsidRDefault="00263244" w:rsidP="00263244">
      <w:pPr>
        <w:pStyle w:val="Sinespaciado"/>
        <w:jc w:val="both"/>
        <w:rPr>
          <w:sz w:val="28"/>
          <w:szCs w:val="28"/>
          <w:lang w:val="es-ES"/>
        </w:rPr>
      </w:pPr>
    </w:p>
    <w:p w:rsidR="00263244" w:rsidRPr="005B7129" w:rsidRDefault="00263244" w:rsidP="00263244">
      <w:pPr>
        <w:pStyle w:val="Sinespaciado"/>
        <w:ind w:left="567" w:right="616"/>
        <w:jc w:val="both"/>
        <w:rPr>
          <w:i/>
          <w:sz w:val="28"/>
          <w:szCs w:val="28"/>
          <w:lang w:val="es-ES"/>
        </w:rPr>
      </w:pPr>
      <w:r w:rsidRPr="005B7129">
        <w:rPr>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5B7129">
        <w:rPr>
          <w:rStyle w:val="apple-converted-space"/>
          <w:i/>
          <w:color w:val="000000"/>
          <w:sz w:val="28"/>
          <w:szCs w:val="28"/>
          <w:shd w:val="clear" w:color="auto" w:fill="FFFFFF"/>
        </w:rPr>
        <w:t> </w:t>
      </w:r>
      <w:r w:rsidRPr="005B7129">
        <w:rPr>
          <w:i/>
          <w:color w:val="000000"/>
          <w:sz w:val="28"/>
          <w:szCs w:val="28"/>
          <w:shd w:val="clear" w:color="auto" w:fill="FFFFFF"/>
        </w:rPr>
        <w:t>El interés de la parte deberá ser legítimo y podrá ser moral, científico, religioso, económico o de cualquier otra naturaleza.</w:t>
      </w:r>
    </w:p>
    <w:p w:rsidR="00263244" w:rsidRPr="005B7129" w:rsidRDefault="00263244" w:rsidP="00263244">
      <w:pPr>
        <w:spacing w:line="240" w:lineRule="auto"/>
        <w:ind w:right="49"/>
        <w:jc w:val="both"/>
        <w:rPr>
          <w:rFonts w:eastAsia="Calibri"/>
          <w:sz w:val="28"/>
          <w:szCs w:val="28"/>
          <w:lang w:val="es-ES"/>
        </w:rPr>
      </w:pPr>
    </w:p>
    <w:p w:rsidR="00263244" w:rsidRPr="005B7129" w:rsidRDefault="00263244" w:rsidP="00263244">
      <w:pPr>
        <w:spacing w:line="240" w:lineRule="auto"/>
        <w:ind w:right="49"/>
        <w:jc w:val="both"/>
        <w:rPr>
          <w:sz w:val="28"/>
          <w:szCs w:val="28"/>
          <w:lang w:val="es-MX"/>
        </w:rPr>
      </w:pPr>
      <w:r w:rsidRPr="005B7129">
        <w:rPr>
          <w:bCs/>
          <w:iCs/>
          <w:sz w:val="28"/>
          <w:szCs w:val="28"/>
        </w:rPr>
        <w:t>Y en cuanto a lo anterior ya hemos indicado antes:</w:t>
      </w:r>
    </w:p>
    <w:p w:rsidR="00263244" w:rsidRPr="005B7129" w:rsidRDefault="00263244" w:rsidP="00263244">
      <w:pPr>
        <w:pStyle w:val="Sinespaciado"/>
        <w:jc w:val="both"/>
        <w:rPr>
          <w:sz w:val="28"/>
          <w:szCs w:val="28"/>
          <w:lang w:val="es-MX"/>
        </w:rPr>
      </w:pPr>
    </w:p>
    <w:p w:rsidR="00263244" w:rsidRPr="00D21497" w:rsidRDefault="00263244" w:rsidP="00263244">
      <w:pPr>
        <w:spacing w:line="240" w:lineRule="auto"/>
        <w:ind w:left="567" w:right="616"/>
        <w:jc w:val="both"/>
        <w:rPr>
          <w:sz w:val="26"/>
          <w:szCs w:val="26"/>
        </w:rPr>
      </w:pPr>
      <w:r w:rsidRPr="00D21497">
        <w:rPr>
          <w:sz w:val="26"/>
          <w:szCs w:val="26"/>
        </w:rPr>
        <w:t xml:space="preserve">…”Es requisito indispensable, para poder accionar en cualquier procedimiento jurídico </w:t>
      </w:r>
      <w:r w:rsidRPr="00D21497">
        <w:rPr>
          <w:b/>
          <w:sz w:val="26"/>
          <w:szCs w:val="26"/>
          <w:u w:val="single"/>
        </w:rPr>
        <w:t>y a esto no escapa la interposición de las acciones recursivas, contar con la debida Legitimación para ello</w:t>
      </w:r>
      <w:r w:rsidRPr="00D21497">
        <w:rPr>
          <w:sz w:val="26"/>
          <w:szCs w:val="26"/>
        </w:rPr>
        <w:t>.</w:t>
      </w:r>
    </w:p>
    <w:p w:rsidR="00263244" w:rsidRPr="00D21497" w:rsidRDefault="00263244" w:rsidP="00263244">
      <w:pPr>
        <w:spacing w:line="240" w:lineRule="auto"/>
        <w:ind w:left="567" w:right="616"/>
        <w:jc w:val="both"/>
        <w:rPr>
          <w:sz w:val="26"/>
          <w:szCs w:val="26"/>
        </w:rPr>
      </w:pPr>
      <w:r w:rsidRPr="00D21497">
        <w:rPr>
          <w:sz w:val="26"/>
          <w:szCs w:val="26"/>
        </w:rPr>
        <w:t xml:space="preserve">La legitimación para accionar jurídicamente,  alude a la aptitud de un sujeto para ser considerado parte en un proceso concreto. </w:t>
      </w:r>
    </w:p>
    <w:p w:rsidR="00263244" w:rsidRPr="00D21497" w:rsidRDefault="00263244" w:rsidP="00263244">
      <w:pPr>
        <w:spacing w:line="240" w:lineRule="auto"/>
        <w:ind w:left="567" w:right="616"/>
        <w:jc w:val="both"/>
        <w:rPr>
          <w:sz w:val="26"/>
          <w:szCs w:val="26"/>
        </w:rPr>
      </w:pPr>
      <w:r w:rsidRPr="00D21497">
        <w:rPr>
          <w:sz w:val="26"/>
          <w:szCs w:val="26"/>
        </w:rPr>
        <w:t>El artículo 275 de la Ley General de la Administración Pública, en cuanto a la Legitimación indica:</w:t>
      </w:r>
    </w:p>
    <w:p w:rsidR="00263244" w:rsidRPr="00D21497" w:rsidRDefault="00263244" w:rsidP="00263244">
      <w:pPr>
        <w:pStyle w:val="Sinespaciado"/>
        <w:rPr>
          <w:sz w:val="26"/>
          <w:szCs w:val="26"/>
        </w:rPr>
      </w:pPr>
    </w:p>
    <w:p w:rsidR="00263244" w:rsidRPr="00D21497" w:rsidRDefault="00263244" w:rsidP="00263244">
      <w:pPr>
        <w:spacing w:line="240" w:lineRule="auto"/>
        <w:ind w:left="567" w:right="616"/>
        <w:jc w:val="both"/>
        <w:rPr>
          <w:rFonts w:eastAsia="MS Mincho"/>
          <w:i/>
          <w:sz w:val="26"/>
          <w:szCs w:val="26"/>
        </w:rPr>
      </w:pPr>
      <w:r w:rsidRPr="00D21497">
        <w:rPr>
          <w:b/>
          <w:i/>
          <w:sz w:val="26"/>
          <w:szCs w:val="26"/>
        </w:rPr>
        <w:t>“</w:t>
      </w:r>
      <w:r w:rsidRPr="00D21497">
        <w:rPr>
          <w:rFonts w:eastAsia="MS Mincho"/>
          <w:i/>
          <w:sz w:val="26"/>
          <w:szCs w:val="26"/>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D21497">
        <w:rPr>
          <w:rFonts w:eastAsia="MS Mincho"/>
          <w:sz w:val="26"/>
          <w:szCs w:val="26"/>
        </w:rPr>
        <w:t>g</w:t>
      </w:r>
      <w:r w:rsidRPr="00D21497">
        <w:rPr>
          <w:rFonts w:eastAsia="MS Mincho"/>
          <w:i/>
          <w:sz w:val="26"/>
          <w:szCs w:val="26"/>
        </w:rPr>
        <w:t>ítimo y podrá ser moral, científico, religioso, económico o de cualquier otra naturaleza.”</w:t>
      </w:r>
    </w:p>
    <w:p w:rsidR="00263244" w:rsidRPr="00D21497" w:rsidRDefault="00263244" w:rsidP="00263244">
      <w:pPr>
        <w:spacing w:line="240" w:lineRule="auto"/>
        <w:ind w:right="616"/>
        <w:jc w:val="both"/>
        <w:rPr>
          <w:sz w:val="26"/>
          <w:szCs w:val="26"/>
        </w:rPr>
      </w:pPr>
    </w:p>
    <w:p w:rsidR="00263244" w:rsidRPr="00D21497" w:rsidRDefault="00263244" w:rsidP="00263244">
      <w:pPr>
        <w:spacing w:line="240" w:lineRule="auto"/>
        <w:ind w:left="567" w:right="616"/>
        <w:jc w:val="both"/>
        <w:rPr>
          <w:sz w:val="26"/>
          <w:szCs w:val="26"/>
        </w:rPr>
      </w:pPr>
      <w:r w:rsidRPr="00D21497">
        <w:rPr>
          <w:sz w:val="26"/>
          <w:szCs w:val="26"/>
        </w:rPr>
        <w:lastRenderedPageBreak/>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D21497">
        <w:rPr>
          <w:b/>
          <w:sz w:val="26"/>
          <w:szCs w:val="26"/>
        </w:rPr>
        <w:t xml:space="preserve">..., </w:t>
      </w:r>
      <w:r w:rsidRPr="00D21497">
        <w:rPr>
          <w:sz w:val="26"/>
          <w:szCs w:val="26"/>
        </w:rPr>
        <w:t xml:space="preserve">para concursar ella, la </w:t>
      </w:r>
      <w:r w:rsidRPr="00D21497">
        <w:rPr>
          <w:b/>
          <w:sz w:val="26"/>
          <w:szCs w:val="26"/>
        </w:rPr>
        <w:t>EMPRESA …</w:t>
      </w:r>
      <w:r w:rsidRPr="00D21497">
        <w:rPr>
          <w:sz w:val="26"/>
          <w:szCs w:val="26"/>
        </w:rPr>
        <w:t>,</w:t>
      </w:r>
      <w:r w:rsidRPr="00D21497">
        <w:rPr>
          <w:b/>
          <w:sz w:val="26"/>
          <w:szCs w:val="26"/>
        </w:rPr>
        <w:t xml:space="preserve"> en la licitación pública que según ésta debe hacerse, </w:t>
      </w:r>
      <w:r w:rsidRPr="00D21497">
        <w:rPr>
          <w:sz w:val="26"/>
          <w:szCs w:val="26"/>
        </w:rPr>
        <w:t>tal intensión no le otorga legitimación a la recurrente.</w:t>
      </w:r>
    </w:p>
    <w:p w:rsidR="00263244" w:rsidRPr="00D21497" w:rsidRDefault="00263244" w:rsidP="00263244">
      <w:pPr>
        <w:pStyle w:val="NormalWeb"/>
        <w:ind w:left="567" w:right="616"/>
        <w:jc w:val="both"/>
        <w:rPr>
          <w:rFonts w:asciiTheme="minorHAnsi" w:hAnsiTheme="minorHAnsi"/>
          <w:i/>
          <w:iCs/>
          <w:color w:val="000000"/>
          <w:sz w:val="26"/>
          <w:szCs w:val="26"/>
          <w:shd w:val="clear" w:color="auto" w:fill="FFFFFF"/>
        </w:rPr>
      </w:pPr>
      <w:r w:rsidRPr="00D21497">
        <w:rPr>
          <w:rFonts w:asciiTheme="minorHAnsi" w:hAnsiTheme="minorHAnsi"/>
          <w:sz w:val="26"/>
          <w:szCs w:val="26"/>
        </w:rPr>
        <w:t xml:space="preserve">La Sala Primera de la Corte Suprema de Justicia en su sentencia número 00822 de fecha 04 de julio de 2013   de las  09:20:00 horas indicó respecto de la Legitimación lo siguiente: </w:t>
      </w:r>
    </w:p>
    <w:p w:rsidR="00263244" w:rsidRPr="00D21497" w:rsidRDefault="00263244" w:rsidP="00263244">
      <w:pPr>
        <w:pStyle w:val="NormalWeb"/>
        <w:spacing w:before="0" w:beforeAutospacing="0" w:after="0" w:afterAutospacing="0"/>
        <w:ind w:left="567" w:right="616"/>
        <w:jc w:val="both"/>
        <w:rPr>
          <w:rFonts w:asciiTheme="minorHAnsi" w:hAnsiTheme="minorHAnsi"/>
          <w:i/>
          <w:sz w:val="26"/>
          <w:szCs w:val="26"/>
        </w:rPr>
      </w:pPr>
      <w:r w:rsidRPr="00D21497">
        <w:rPr>
          <w:rFonts w:asciiTheme="minorHAnsi" w:hAnsiTheme="minorHAnsi"/>
          <w:i/>
          <w:iCs/>
          <w:sz w:val="26"/>
          <w:szCs w:val="26"/>
        </w:rPr>
        <w:t>“La </w:t>
      </w:r>
      <w:r w:rsidRPr="00D21497">
        <w:rPr>
          <w:rFonts w:asciiTheme="minorHAnsi" w:hAnsiTheme="minorHAnsi"/>
          <w:bCs/>
          <w:i/>
          <w:iCs/>
          <w:sz w:val="26"/>
          <w:szCs w:val="26"/>
        </w:rPr>
        <w:t>legitimación</w:t>
      </w:r>
      <w:r w:rsidRPr="00D21497">
        <w:rPr>
          <w:rFonts w:asciiTheme="minorHAnsi" w:hAnsiTheme="minorHAnsi"/>
          <w:i/>
          <w:iCs/>
          <w:sz w:val="26"/>
          <w:szCs w:val="26"/>
        </w:rPr>
        <w:t> constituye un presupuesto de la pretensión formulada en la demanda y de la oposición hecha por el demandado, para hacer posible la sentencia de fondo que las resuelve; consecuentemente la </w:t>
      </w:r>
      <w:r w:rsidRPr="00D21497">
        <w:rPr>
          <w:rFonts w:asciiTheme="minorHAnsi" w:hAnsiTheme="minorHAnsi"/>
          <w:bCs/>
          <w:i/>
          <w:iCs/>
          <w:sz w:val="26"/>
          <w:szCs w:val="26"/>
        </w:rPr>
        <w:t>legitimación</w:t>
      </w:r>
      <w:r w:rsidRPr="00D21497">
        <w:rPr>
          <w:rFonts w:asciiTheme="minorHAnsi" w:hAnsiTheme="minorHAnsi"/>
          <w:i/>
          <w:iCs/>
          <w:sz w:val="26"/>
          <w:szCs w:val="26"/>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D21497">
        <w:rPr>
          <w:rFonts w:asciiTheme="minorHAnsi" w:hAnsiTheme="minorHAnsi"/>
          <w:bCs/>
          <w:i/>
          <w:iCs/>
          <w:sz w:val="26"/>
          <w:szCs w:val="26"/>
        </w:rPr>
        <w:t>legitimación</w:t>
      </w:r>
      <w:r w:rsidRPr="00D21497">
        <w:rPr>
          <w:rFonts w:asciiTheme="minorHAnsi" w:hAnsiTheme="minorHAnsi"/>
          <w:i/>
          <w:iCs/>
          <w:sz w:val="26"/>
          <w:szCs w:val="26"/>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D21497">
        <w:rPr>
          <w:rFonts w:asciiTheme="minorHAnsi" w:hAnsiTheme="minorHAnsi"/>
          <w:bCs/>
          <w:i/>
          <w:iCs/>
          <w:sz w:val="26"/>
          <w:szCs w:val="26"/>
        </w:rPr>
        <w:t>legitimación</w:t>
      </w:r>
      <w:r w:rsidRPr="00D21497">
        <w:rPr>
          <w:rFonts w:asciiTheme="minorHAnsi" w:hAnsiTheme="minorHAnsi"/>
          <w:i/>
          <w:iCs/>
          <w:sz w:val="26"/>
          <w:szCs w:val="26"/>
        </w:rPr>
        <w:t> para obtener sentencia de fondo o mérito. De acuerdo al sujeto legitimado o a su posición en la relación procesal se puede distinguir entre </w:t>
      </w:r>
      <w:r w:rsidRPr="00D21497">
        <w:rPr>
          <w:rFonts w:asciiTheme="minorHAnsi" w:hAnsiTheme="minorHAnsi"/>
          <w:bCs/>
          <w:i/>
          <w:iCs/>
          <w:sz w:val="26"/>
          <w:szCs w:val="26"/>
        </w:rPr>
        <w:t xml:space="preserve">legitimación </w:t>
      </w:r>
      <w:r w:rsidRPr="00D21497">
        <w:rPr>
          <w:rFonts w:asciiTheme="minorHAnsi" w:hAnsiTheme="minorHAnsi"/>
          <w:i/>
          <w:iCs/>
          <w:sz w:val="26"/>
          <w:szCs w:val="26"/>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D21497">
        <w:rPr>
          <w:rFonts w:asciiTheme="minorHAnsi" w:hAnsiTheme="minorHAnsi"/>
          <w:bCs/>
          <w:i/>
          <w:iCs/>
          <w:sz w:val="26"/>
          <w:szCs w:val="26"/>
        </w:rPr>
        <w:t>legitimación</w:t>
      </w:r>
      <w:r w:rsidRPr="00D21497">
        <w:rPr>
          <w:rFonts w:asciiTheme="minorHAnsi" w:hAnsiTheme="minorHAnsi"/>
          <w:i/>
          <w:iCs/>
          <w:sz w:val="26"/>
          <w:szCs w:val="26"/>
        </w:rPr>
        <w:t> en la causa constituye un impedimento sustancial, si el juzgador se percata de la falta de la misma, así debe declararlo de oficio y dictar una sentencia inhibitoria, lo que no es óbice para que sea alegada oportunamente como excepción previa… …La </w:t>
      </w:r>
      <w:r w:rsidRPr="00D21497">
        <w:rPr>
          <w:rFonts w:asciiTheme="minorHAnsi" w:hAnsiTheme="minorHAnsi"/>
          <w:bCs/>
          <w:i/>
          <w:iCs/>
          <w:sz w:val="26"/>
          <w:szCs w:val="26"/>
        </w:rPr>
        <w:t>legitimación</w:t>
      </w:r>
      <w:r w:rsidRPr="00D21497">
        <w:rPr>
          <w:rFonts w:asciiTheme="minorHAnsi" w:hAnsiTheme="minorHAnsi"/>
          <w:i/>
          <w:iCs/>
          <w:sz w:val="26"/>
          <w:szCs w:val="26"/>
        </w:rPr>
        <w:t xml:space="preserve"> en la causa </w:t>
      </w:r>
      <w:r w:rsidRPr="00D21497">
        <w:rPr>
          <w:rFonts w:asciiTheme="minorHAnsi" w:hAnsiTheme="minorHAnsi"/>
          <w:i/>
          <w:iCs/>
          <w:sz w:val="26"/>
          <w:szCs w:val="26"/>
        </w:rPr>
        <w:lastRenderedPageBreak/>
        <w:t>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D21497">
        <w:rPr>
          <w:rFonts w:asciiTheme="minorHAnsi" w:hAnsiTheme="minorHAnsi"/>
          <w:bCs/>
          <w:i/>
          <w:iCs/>
          <w:sz w:val="26"/>
          <w:szCs w:val="26"/>
        </w:rPr>
        <w:t>legitimación</w:t>
      </w:r>
      <w:r w:rsidRPr="00D21497">
        <w:rPr>
          <w:rFonts w:asciiTheme="minorHAnsi" w:hAnsiTheme="minorHAnsi"/>
          <w:i/>
          <w:iCs/>
          <w:sz w:val="26"/>
          <w:szCs w:val="26"/>
        </w:rPr>
        <w:t> como un presupuesto de fondo necesario para la procedencia de la pretensión material, es decir, será parte legítima quien alega tener una determinada relación jurídica con la petitoria debatida. Ahora bien, según se ha visto, el vínculo entre la </w:t>
      </w:r>
      <w:r w:rsidRPr="00D21497">
        <w:rPr>
          <w:rFonts w:asciiTheme="minorHAnsi" w:hAnsiTheme="minorHAnsi"/>
          <w:bCs/>
          <w:i/>
          <w:iCs/>
          <w:sz w:val="26"/>
          <w:szCs w:val="26"/>
        </w:rPr>
        <w:t>legitimación</w:t>
      </w:r>
      <w:r w:rsidRPr="00D21497">
        <w:rPr>
          <w:rFonts w:asciiTheme="minorHAnsi" w:hAnsiTheme="minorHAnsi"/>
          <w:i/>
          <w:iCs/>
          <w:sz w:val="26"/>
          <w:szCs w:val="26"/>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D21497">
        <w:rPr>
          <w:rFonts w:asciiTheme="minorHAnsi" w:hAnsiTheme="minorHAnsi"/>
          <w:i/>
          <w:sz w:val="26"/>
          <w:szCs w:val="26"/>
        </w:rPr>
        <w:t>”.</w:t>
      </w:r>
      <w:r w:rsidRPr="00D21497">
        <w:rPr>
          <w:rFonts w:asciiTheme="minorHAnsi" w:hAnsiTheme="minorHAnsi"/>
          <w:i/>
          <w:iCs/>
          <w:sz w:val="26"/>
          <w:szCs w:val="26"/>
        </w:rPr>
        <w:t> No. 604 de las 10 horas del 17 de agosto de 2007. En consecuencia, la </w:t>
      </w:r>
      <w:r w:rsidRPr="00D21497">
        <w:rPr>
          <w:rFonts w:asciiTheme="minorHAnsi" w:hAnsiTheme="minorHAnsi"/>
          <w:bCs/>
          <w:i/>
          <w:iCs/>
          <w:sz w:val="26"/>
          <w:szCs w:val="26"/>
        </w:rPr>
        <w:t>legitimación</w:t>
      </w:r>
      <w:r w:rsidRPr="00D21497">
        <w:rPr>
          <w:rFonts w:asciiTheme="minorHAnsi" w:hAnsiTheme="minorHAnsi"/>
          <w:i/>
          <w:iCs/>
          <w:sz w:val="26"/>
          <w:szCs w:val="26"/>
        </w:rPr>
        <w:t> es la aptitud para ser parte en un proceso concreto, puede ser activa o pasiva, lo cual dependerá de las condiciones que para tal efecto establezca la ley en cuanto la pretensión procesal. Así, la </w:t>
      </w:r>
      <w:r w:rsidRPr="00D21497">
        <w:rPr>
          <w:rFonts w:asciiTheme="minorHAnsi" w:hAnsiTheme="minorHAnsi"/>
          <w:bCs/>
          <w:i/>
          <w:iCs/>
          <w:sz w:val="26"/>
          <w:szCs w:val="26"/>
        </w:rPr>
        <w:t>legitimación</w:t>
      </w:r>
      <w:r w:rsidRPr="00D21497">
        <w:rPr>
          <w:rFonts w:asciiTheme="minorHAnsi" w:hAnsiTheme="minorHAnsi"/>
          <w:i/>
          <w:iCs/>
          <w:sz w:val="26"/>
          <w:szCs w:val="26"/>
        </w:rPr>
        <w:t>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D21497">
        <w:rPr>
          <w:rFonts w:asciiTheme="minorHAnsi" w:hAnsiTheme="minorHAnsi"/>
          <w:i/>
          <w:sz w:val="26"/>
          <w:szCs w:val="26"/>
        </w:rPr>
        <w:t>. Fallo no. 778 de las 14 horas 50 minutos del 28 de julio de 2009. Así, para que la parte cuente con </w:t>
      </w:r>
      <w:r w:rsidRPr="00D21497">
        <w:rPr>
          <w:rFonts w:asciiTheme="minorHAnsi" w:hAnsiTheme="minorHAnsi"/>
          <w:bCs/>
          <w:i/>
          <w:sz w:val="26"/>
          <w:szCs w:val="26"/>
        </w:rPr>
        <w:t>legitimación</w:t>
      </w:r>
      <w:r w:rsidRPr="00D21497">
        <w:rPr>
          <w:rFonts w:asciiTheme="minorHAnsi" w:hAnsiTheme="minorHAnsi"/>
          <w:i/>
          <w:sz w:val="26"/>
          <w:szCs w:val="26"/>
        </w:rPr>
        <w:t xml:space="preserve"> debe tener una determinada relación jurídica con la petitoria discutida, dicho lazo es el que se produce entre actor y demandado en virtud de lo que se debate en el proceso. Consecuentemente, la falta de </w:t>
      </w:r>
      <w:r w:rsidRPr="00D21497">
        <w:rPr>
          <w:rFonts w:asciiTheme="minorHAnsi" w:hAnsiTheme="minorHAnsi"/>
          <w:bCs/>
          <w:i/>
          <w:sz w:val="26"/>
          <w:szCs w:val="26"/>
        </w:rPr>
        <w:t>legitimación</w:t>
      </w:r>
      <w:r w:rsidRPr="00D21497">
        <w:rPr>
          <w:rFonts w:asciiTheme="minorHAnsi" w:hAnsiTheme="minorHAnsi"/>
          <w:i/>
          <w:sz w:val="26"/>
          <w:szCs w:val="26"/>
        </w:rPr>
        <w:t> en la causa constituye un impedimento sustancial para una sentencia estimatoria, ya que es la que determina quiénes deben actuar en el proceso.”</w:t>
      </w:r>
    </w:p>
    <w:p w:rsidR="00263244" w:rsidRPr="00D21497" w:rsidRDefault="00263244" w:rsidP="00263244">
      <w:pPr>
        <w:pStyle w:val="NormalWeb"/>
        <w:spacing w:before="0" w:beforeAutospacing="0" w:after="0" w:afterAutospacing="0"/>
        <w:ind w:left="567" w:right="616"/>
        <w:jc w:val="both"/>
        <w:rPr>
          <w:rFonts w:asciiTheme="minorHAnsi" w:hAnsiTheme="minorHAnsi"/>
          <w:sz w:val="26"/>
          <w:szCs w:val="26"/>
        </w:rPr>
      </w:pPr>
    </w:p>
    <w:p w:rsidR="00263244" w:rsidRPr="00D21497" w:rsidRDefault="00263244" w:rsidP="00263244">
      <w:pPr>
        <w:pStyle w:val="NormalWeb"/>
        <w:spacing w:before="0" w:beforeAutospacing="0" w:after="0" w:afterAutospacing="0"/>
        <w:ind w:left="567" w:right="616"/>
        <w:jc w:val="both"/>
        <w:rPr>
          <w:rFonts w:asciiTheme="minorHAnsi" w:hAnsiTheme="minorHAnsi"/>
          <w:sz w:val="26"/>
          <w:szCs w:val="26"/>
        </w:rPr>
      </w:pPr>
      <w:r w:rsidRPr="00D21497">
        <w:rPr>
          <w:rFonts w:asciiTheme="minorHAnsi" w:hAnsiTheme="minorHAnsi"/>
          <w:sz w:val="26"/>
          <w:szCs w:val="26"/>
        </w:rPr>
        <w:t xml:space="preserve">Señala el Doctor Jiménez Meza lo siguiente: “... </w:t>
      </w:r>
      <w:r w:rsidRPr="00D21497">
        <w:rPr>
          <w:rFonts w:asciiTheme="minorHAnsi" w:hAnsiTheme="minorHAnsi"/>
          <w:i/>
          <w:iCs/>
          <w:sz w:val="26"/>
          <w:szCs w:val="26"/>
        </w:rPr>
        <w:t>un sujeto queda legitimado en un procedimiento o en un determinado proceso por virtud de la afectación previa sufrida en sus intereses o derechos cualificados</w:t>
      </w:r>
      <w:r w:rsidRPr="00D21497">
        <w:rPr>
          <w:rFonts w:asciiTheme="minorHAnsi" w:hAnsiTheme="minorHAnsi"/>
          <w:sz w:val="26"/>
          <w:szCs w:val="26"/>
        </w:rPr>
        <w:t xml:space="preserve">” (Jiménez Meza, Manrique. </w:t>
      </w:r>
      <w:r w:rsidRPr="00D21497">
        <w:rPr>
          <w:rFonts w:asciiTheme="minorHAnsi" w:hAnsiTheme="minorHAnsi"/>
          <w:sz w:val="26"/>
          <w:szCs w:val="26"/>
          <w:u w:val="single"/>
        </w:rPr>
        <w:t>El nuevo proceso contencioso administrativo</w:t>
      </w:r>
      <w:r w:rsidRPr="00D21497">
        <w:rPr>
          <w:rFonts w:asciiTheme="minorHAnsi" w:hAnsiTheme="minorHAnsi"/>
          <w:sz w:val="26"/>
          <w:szCs w:val="26"/>
        </w:rPr>
        <w:t>. Obra Colectiva. Poder Judicial. Escuela Judicial. San José. Costa Rica. p. 79.)</w:t>
      </w:r>
    </w:p>
    <w:p w:rsidR="00263244" w:rsidRPr="00D21497" w:rsidRDefault="00263244" w:rsidP="00263244">
      <w:pPr>
        <w:pStyle w:val="NormalWeb"/>
        <w:spacing w:before="0" w:beforeAutospacing="0" w:after="0" w:afterAutospacing="0"/>
        <w:ind w:left="567" w:right="616"/>
        <w:jc w:val="both"/>
        <w:rPr>
          <w:rFonts w:asciiTheme="minorHAnsi" w:hAnsiTheme="minorHAnsi"/>
          <w:sz w:val="26"/>
          <w:szCs w:val="26"/>
        </w:rPr>
      </w:pPr>
    </w:p>
    <w:p w:rsidR="00263244" w:rsidRPr="00D21497" w:rsidRDefault="00263244" w:rsidP="00263244">
      <w:pPr>
        <w:pStyle w:val="NormalWeb"/>
        <w:spacing w:before="0" w:beforeAutospacing="0" w:after="0" w:afterAutospacing="0"/>
        <w:ind w:left="567" w:right="616"/>
        <w:jc w:val="both"/>
        <w:rPr>
          <w:rFonts w:asciiTheme="minorHAnsi" w:hAnsiTheme="minorHAnsi"/>
          <w:b/>
          <w:sz w:val="26"/>
          <w:szCs w:val="26"/>
        </w:rPr>
      </w:pPr>
      <w:r w:rsidRPr="00D21497">
        <w:rPr>
          <w:rFonts w:asciiTheme="minorHAnsi" w:hAnsiTheme="minorHAnsi"/>
          <w:sz w:val="26"/>
          <w:szCs w:val="26"/>
        </w:rPr>
        <w:t xml:space="preserve">Así las cosas debe rechazarse el Recurso de Apelación y la Nulidad presentadas por </w:t>
      </w:r>
      <w:r w:rsidRPr="00D21497">
        <w:rPr>
          <w:rFonts w:asciiTheme="minorHAnsi" w:hAnsiTheme="minorHAnsi"/>
          <w:b/>
          <w:smallCaps/>
          <w:sz w:val="26"/>
          <w:szCs w:val="26"/>
        </w:rPr>
        <w:t>LA EMPRESA … LIMITADA,</w:t>
      </w:r>
      <w:r w:rsidRPr="00D21497">
        <w:rPr>
          <w:rFonts w:asciiTheme="minorHAnsi" w:hAnsiTheme="minorHAnsi"/>
          <w:b/>
          <w:sz w:val="26"/>
          <w:szCs w:val="26"/>
        </w:rPr>
        <w:t xml:space="preserve"> </w:t>
      </w:r>
      <w:r w:rsidRPr="00D21497">
        <w:rPr>
          <w:rFonts w:asciiTheme="minorHAnsi" w:hAnsiTheme="minorHAnsi"/>
          <w:sz w:val="26"/>
          <w:szCs w:val="26"/>
        </w:rPr>
        <w:t xml:space="preserve">ya que no cuenta con legitimación para impugnar el actor recurrido.”…  </w:t>
      </w:r>
      <w:r w:rsidRPr="00D21497">
        <w:rPr>
          <w:rFonts w:asciiTheme="minorHAnsi" w:hAnsiTheme="minorHAnsi"/>
          <w:b/>
          <w:sz w:val="26"/>
          <w:szCs w:val="26"/>
        </w:rPr>
        <w:t>(Resolución No. TAT-</w:t>
      </w:r>
      <w:r w:rsidRPr="00D21497">
        <w:rPr>
          <w:rFonts w:asciiTheme="minorHAnsi" w:hAnsiTheme="minorHAnsi"/>
          <w:b/>
          <w:sz w:val="26"/>
          <w:szCs w:val="26"/>
        </w:rPr>
        <w:lastRenderedPageBreak/>
        <w:t>2541-2015 de las 09:30 horas del 30 de Abril del 2015, Expediente No. TAT-182-15)  (el resaltado es nuestro)</w:t>
      </w:r>
    </w:p>
    <w:p w:rsidR="00263244" w:rsidRPr="005B7129" w:rsidRDefault="00263244" w:rsidP="00263244">
      <w:pPr>
        <w:pStyle w:val="Sinespaciado"/>
        <w:jc w:val="both"/>
        <w:rPr>
          <w:sz w:val="28"/>
          <w:szCs w:val="28"/>
        </w:rPr>
      </w:pPr>
    </w:p>
    <w:p w:rsidR="00263244" w:rsidRPr="005B7129"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En lo relativo al Conocimiento del Documento de Contrato de Concesión es claro que no es el Tiempo Debido para un Reclamo de tal tipo, aun sí procediera, toda vez que solo cuando se tengan como Recibidos y revisados en Firme, con base en ellos, se elabora el Documento de Formalización Contractual. Siendo tal el momento en el que él mismo podría ponerse a conocimiento de los Concesionarios Interesados, no obstante se trata de un Contrato de Adhesión. Mas no en la Etapa que se revisa en lo de interés.</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B05124">
        <w:rPr>
          <w:i/>
          <w:sz w:val="28"/>
          <w:szCs w:val="28"/>
        </w:rPr>
        <w:t>de ser de su aceptación</w:t>
      </w:r>
      <w:r w:rsidR="005854BC">
        <w:rPr>
          <w:sz w:val="28"/>
          <w:szCs w:val="28"/>
        </w:rPr>
        <w:t xml:space="preserve">- de comunicarlos al </w:t>
      </w:r>
      <w:r>
        <w:rPr>
          <w:sz w:val="28"/>
          <w:szCs w:val="28"/>
        </w:rPr>
        <w:t xml:space="preserve">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9975C6">
        <w:rPr>
          <w:i/>
          <w:sz w:val="28"/>
          <w:szCs w:val="28"/>
        </w:rPr>
        <w:t>supra</w:t>
      </w:r>
      <w:r>
        <w:rPr>
          <w:sz w:val="28"/>
          <w:szCs w:val="28"/>
        </w:rPr>
        <w:t>, su Reclamo en el sentido apuntado es Improcedente y Falto de Derecho y de Razón.</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En lo que corresponde a la Acción Cautelar Temporal de dar Carácter de Permisionarios a los Concesionarios, en tanto se dan los Refrendos de mérito, lo real es que si bien es cierto el Acuerdo Objetad</w:t>
      </w:r>
      <w:r w:rsidR="005854BC">
        <w:rPr>
          <w:sz w:val="28"/>
          <w:szCs w:val="28"/>
        </w:rPr>
        <w:t>o</w:t>
      </w:r>
      <w:r>
        <w:rPr>
          <w:sz w:val="28"/>
          <w:szCs w:val="28"/>
        </w:rPr>
        <w:t xml:space="preserve"> REFIERE AL TEMA, lo hace </w:t>
      </w:r>
      <w:r>
        <w:rPr>
          <w:sz w:val="28"/>
          <w:szCs w:val="28"/>
        </w:rPr>
        <w:lastRenderedPageBreak/>
        <w:t xml:space="preserve">como una REFERENCIA; toda vez que la determinación Específica del Otorgar Carácter de Permisionarios a los Concesionarios en tanto se Curse y termine con el Proceso de Formalización y Refrendo, se dio mediante el Acuerdo No. </w:t>
      </w:r>
      <w:r w:rsidRPr="00336FDB">
        <w:rPr>
          <w:sz w:val="28"/>
          <w:szCs w:val="28"/>
        </w:rPr>
        <w:t xml:space="preserve">8.1 de la Sesión Ordinaria No. 25-2015 del 06 de Mayo del 2015, de la Junta Directiva del </w:t>
      </w:r>
      <w:r>
        <w:rPr>
          <w:sz w:val="28"/>
          <w:szCs w:val="28"/>
        </w:rPr>
        <w:t>Consejo de Transporte Público. Acto que sería el que debió de Objetar la Interesada en caso de querer Adversar lo determinado por él mismo.  No siendo procedente, ni temporalmente aceptable, que lo Previamente definido sobre el Particular venga a ser Impugnado por su MERA REFERENCIA en el Acto Objetado. Amén de que este Tribunal -</w:t>
      </w:r>
      <w:r w:rsidRPr="00D4656D">
        <w:rPr>
          <w:i/>
          <w:sz w:val="28"/>
          <w:szCs w:val="28"/>
        </w:rPr>
        <w:t>por Mayoría</w:t>
      </w:r>
      <w:r>
        <w:rPr>
          <w:sz w:val="28"/>
          <w:szCs w:val="28"/>
        </w:rPr>
        <w:t>- ya se ha pronunciado sobre la Validez, Eficacia y Legalidad del mismo, según se puede colegir en nuestras Resoluciones Nos. TAT-2937-2016 y TAT-2938-2016, ambas del día 29 de Febrero del 2016.</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Y finalmente, en lo que se refiere a los Cuestionamientos sobre la Gestión de la ARESEP en la Fijación de los Requisitos de Refrendo (los cuales datan del año 2005) y en la No Aprobación de Tarifas sí el Operador no cuenta con lo que se podría llamar un “Título Habilitante” o una Autorización Formal Debida de Operación, es claro que se trata de Aspectos Propios de la misma ARESEP, los cuales escapan a la Competencia Revisora de Legalidad propia de este Tribunal.</w:t>
      </w:r>
    </w:p>
    <w:p w:rsidR="00263244" w:rsidRPr="00263244" w:rsidRDefault="00263244" w:rsidP="00263244">
      <w:pPr>
        <w:pStyle w:val="Sinespaciado"/>
        <w:rPr>
          <w:sz w:val="16"/>
          <w:szCs w:val="16"/>
        </w:rPr>
      </w:pPr>
    </w:p>
    <w:p w:rsidR="00263244" w:rsidRPr="007B65A6" w:rsidRDefault="00263244" w:rsidP="00263244">
      <w:pPr>
        <w:pStyle w:val="Sinespaciado"/>
        <w:jc w:val="both"/>
        <w:rPr>
          <w:b/>
          <w:sz w:val="28"/>
          <w:szCs w:val="28"/>
        </w:rPr>
      </w:pPr>
      <w:r w:rsidRPr="007B65A6">
        <w:rPr>
          <w:b/>
          <w:sz w:val="28"/>
          <w:szCs w:val="28"/>
        </w:rPr>
        <w:t xml:space="preserve">NULIDAD: </w:t>
      </w:r>
    </w:p>
    <w:p w:rsidR="00263244" w:rsidRDefault="00263244" w:rsidP="00263244">
      <w:pPr>
        <w:pStyle w:val="Sinespaciado"/>
        <w:jc w:val="both"/>
        <w:rPr>
          <w:sz w:val="28"/>
          <w:szCs w:val="28"/>
        </w:rPr>
      </w:pPr>
      <w:r w:rsidRPr="007B65A6">
        <w:rPr>
          <w:sz w:val="28"/>
          <w:szCs w:val="28"/>
        </w:rPr>
        <w:t xml:space="preserve">En mérito de todo lo expresado antes y del expediente del Caso en particular, </w:t>
      </w:r>
      <w:r>
        <w:rPr>
          <w:sz w:val="28"/>
          <w:szCs w:val="28"/>
        </w:rPr>
        <w:t xml:space="preserve">no </w:t>
      </w:r>
      <w:r w:rsidRPr="007B65A6">
        <w:rPr>
          <w:sz w:val="28"/>
          <w:szCs w:val="28"/>
        </w:rPr>
        <w:t xml:space="preserve">estima este Tribunal como Procedente la Acción de Nulidad concomitante al </w:t>
      </w:r>
      <w:r>
        <w:rPr>
          <w:sz w:val="28"/>
          <w:szCs w:val="28"/>
        </w:rPr>
        <w:t>Recurso de Apelación</w:t>
      </w:r>
      <w:r w:rsidRPr="007B65A6">
        <w:rPr>
          <w:sz w:val="28"/>
          <w:szCs w:val="28"/>
        </w:rPr>
        <w:t>.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263244" w:rsidRPr="00F86301" w:rsidRDefault="00263244" w:rsidP="00263244">
      <w:pPr>
        <w:pStyle w:val="Sinespaciado"/>
        <w:jc w:val="both"/>
        <w:rPr>
          <w:sz w:val="28"/>
          <w:szCs w:val="28"/>
        </w:rPr>
      </w:pPr>
    </w:p>
    <w:p w:rsidR="00263244" w:rsidRDefault="00263244" w:rsidP="00263244">
      <w:pPr>
        <w:pStyle w:val="Sinespaciado"/>
        <w:jc w:val="both"/>
        <w:rPr>
          <w:sz w:val="28"/>
          <w:szCs w:val="28"/>
        </w:rPr>
      </w:pPr>
      <w:r>
        <w:rPr>
          <w:sz w:val="28"/>
          <w:szCs w:val="28"/>
        </w:rPr>
        <w:t>Confirmándose de lo antes referido la Improcedencia de las Acciones de Impugnación que nos han ocupado, por ser las mismas Carentes de Interés Actual y de Legitimación Meritoria.</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p>
    <w:p w:rsidR="00263244" w:rsidRPr="007B65A6" w:rsidRDefault="00263244" w:rsidP="00263244">
      <w:pPr>
        <w:pStyle w:val="Sinespaciado"/>
        <w:jc w:val="center"/>
        <w:rPr>
          <w:b/>
          <w:i/>
          <w:sz w:val="28"/>
          <w:szCs w:val="28"/>
        </w:rPr>
      </w:pPr>
      <w:r w:rsidRPr="007B65A6">
        <w:rPr>
          <w:b/>
          <w:i/>
          <w:sz w:val="28"/>
          <w:szCs w:val="28"/>
        </w:rPr>
        <w:t>Por Tanto</w:t>
      </w:r>
    </w:p>
    <w:p w:rsidR="00263244" w:rsidRDefault="00263244" w:rsidP="00263244">
      <w:pPr>
        <w:pStyle w:val="Sinespaciado"/>
        <w:jc w:val="both"/>
        <w:rPr>
          <w:sz w:val="28"/>
          <w:szCs w:val="28"/>
        </w:rPr>
      </w:pPr>
    </w:p>
    <w:p w:rsidR="00263244" w:rsidRDefault="00263244" w:rsidP="00263244">
      <w:pPr>
        <w:pStyle w:val="Sinespaciado"/>
        <w:jc w:val="both"/>
        <w:rPr>
          <w:sz w:val="28"/>
          <w:szCs w:val="28"/>
        </w:rPr>
      </w:pPr>
      <w:r>
        <w:rPr>
          <w:b/>
          <w:sz w:val="28"/>
          <w:szCs w:val="28"/>
        </w:rPr>
        <w:t>I.-</w:t>
      </w:r>
      <w:r>
        <w:rPr>
          <w:b/>
          <w:sz w:val="28"/>
          <w:szCs w:val="28"/>
        </w:rPr>
        <w:tab/>
      </w:r>
      <w:r>
        <w:rPr>
          <w:sz w:val="28"/>
          <w:szCs w:val="28"/>
        </w:rPr>
        <w:t xml:space="preserve">Se </w:t>
      </w:r>
      <w:r w:rsidRPr="007B65A6">
        <w:rPr>
          <w:b/>
          <w:sz w:val="28"/>
          <w:szCs w:val="28"/>
          <w:u w:val="single"/>
        </w:rPr>
        <w:t>RECHAZAN</w:t>
      </w:r>
      <w:r w:rsidRPr="007B65A6">
        <w:rPr>
          <w:b/>
          <w:sz w:val="28"/>
          <w:szCs w:val="28"/>
        </w:rPr>
        <w:t xml:space="preserve"> </w:t>
      </w:r>
      <w:r>
        <w:rPr>
          <w:sz w:val="28"/>
          <w:szCs w:val="28"/>
        </w:rPr>
        <w:t xml:space="preserve">el </w:t>
      </w:r>
      <w:r w:rsidRPr="00CB3ED0">
        <w:rPr>
          <w:b/>
          <w:sz w:val="28"/>
          <w:szCs w:val="28"/>
        </w:rPr>
        <w:t>RECURSO DE APELACIÓN</w:t>
      </w:r>
      <w:r>
        <w:rPr>
          <w:sz w:val="28"/>
          <w:szCs w:val="28"/>
        </w:rPr>
        <w:t xml:space="preserve"> en subsidio y </w:t>
      </w:r>
      <w:r w:rsidRPr="00CB3ED0">
        <w:rPr>
          <w:b/>
          <w:sz w:val="28"/>
          <w:szCs w:val="28"/>
        </w:rPr>
        <w:t xml:space="preserve">NULIDAD ABSOLUTA </w:t>
      </w:r>
      <w:r>
        <w:rPr>
          <w:sz w:val="28"/>
          <w:szCs w:val="28"/>
        </w:rPr>
        <w:t>concomitante presentado por la firma</w:t>
      </w:r>
      <w:r w:rsidRPr="00F221C1">
        <w:rPr>
          <w:b/>
          <w:sz w:val="28"/>
          <w:szCs w:val="28"/>
        </w:rPr>
        <w:t>,</w:t>
      </w:r>
      <w:r>
        <w:rPr>
          <w:b/>
          <w:sz w:val="28"/>
          <w:szCs w:val="28"/>
        </w:rPr>
        <w:t xml:space="preserve">  </w:t>
      </w:r>
      <w:r w:rsidR="00B26947">
        <w:rPr>
          <w:b/>
          <w:sz w:val="28"/>
          <w:szCs w:val="28"/>
        </w:rPr>
        <w:t>ASV</w:t>
      </w:r>
      <w:r>
        <w:rPr>
          <w:b/>
          <w:sz w:val="28"/>
          <w:szCs w:val="28"/>
        </w:rPr>
        <w:t xml:space="preserve"> </w:t>
      </w:r>
      <w:r w:rsidRPr="00F221C1">
        <w:rPr>
          <w:b/>
          <w:sz w:val="28"/>
          <w:szCs w:val="28"/>
        </w:rPr>
        <w:t>SOCIEDAD ANÓNIMA</w:t>
      </w:r>
      <w:r>
        <w:rPr>
          <w:sz w:val="28"/>
          <w:szCs w:val="28"/>
        </w:rPr>
        <w:t xml:space="preserve">, cédula de persona jurídica número </w:t>
      </w:r>
      <w:r w:rsidR="00B26947">
        <w:rPr>
          <w:sz w:val="28"/>
          <w:szCs w:val="28"/>
        </w:rPr>
        <w:t>….</w:t>
      </w:r>
      <w:r>
        <w:rPr>
          <w:sz w:val="28"/>
          <w:szCs w:val="28"/>
        </w:rPr>
        <w:t xml:space="preserve">, representada en este acto por su Apoderado Generalísimo sin Límite de Suma, Señor </w:t>
      </w:r>
      <w:r w:rsidR="00B26947">
        <w:rPr>
          <w:sz w:val="28"/>
          <w:szCs w:val="28"/>
        </w:rPr>
        <w:t>EVV</w:t>
      </w:r>
      <w:r>
        <w:rPr>
          <w:sz w:val="28"/>
          <w:szCs w:val="28"/>
        </w:rPr>
        <w:t xml:space="preserve">, de calidades conocidas, portador de la cédula de identidad número </w:t>
      </w:r>
      <w:r w:rsidR="00B26947">
        <w:rPr>
          <w:sz w:val="28"/>
          <w:szCs w:val="28"/>
        </w:rPr>
        <w:t>…</w:t>
      </w:r>
      <w:r>
        <w:rPr>
          <w:sz w:val="28"/>
          <w:szCs w:val="28"/>
        </w:rPr>
        <w:t>, en su condición de Operadora del Servicio Público de Transporte Remunerado de Personas, modalidad Autobús, contra el Acuerdo No. 7.14 de la Sesión Ordinaria No. 38-2015 de la Junta Directiva del Consejo de Transporte Público, de fecha 02 de Julio del año 2015.</w:t>
      </w:r>
    </w:p>
    <w:p w:rsidR="00263244" w:rsidRPr="007B65A6" w:rsidRDefault="00263244" w:rsidP="00263244">
      <w:pPr>
        <w:widowControl w:val="0"/>
        <w:kinsoku w:val="0"/>
        <w:overflowPunct w:val="0"/>
        <w:spacing w:before="176" w:after="0" w:line="316" w:lineRule="exact"/>
        <w:ind w:right="-14"/>
        <w:jc w:val="both"/>
        <w:textAlignment w:val="baseline"/>
        <w:rPr>
          <w:sz w:val="28"/>
          <w:szCs w:val="28"/>
          <w:lang w:val="es-ES" w:eastAsia="es-ES"/>
        </w:rPr>
      </w:pPr>
      <w:r w:rsidRPr="007B65A6">
        <w:rPr>
          <w:b/>
          <w:sz w:val="28"/>
          <w:szCs w:val="28"/>
          <w:lang w:val="es-ES" w:eastAsia="es-ES"/>
        </w:rPr>
        <w:t>II.-</w:t>
      </w:r>
      <w:r>
        <w:rPr>
          <w:sz w:val="28"/>
          <w:szCs w:val="28"/>
          <w:lang w:val="es-ES" w:eastAsia="es-ES"/>
        </w:rPr>
        <w:tab/>
        <w:t>Conforme las disposiciones del Artículo No. 16 de la Ley No. 7969 se recuerda que los fallos de este Tribunal son de acatamiento inmediato, estricto y obligatorio.</w:t>
      </w:r>
    </w:p>
    <w:p w:rsidR="00263244" w:rsidRDefault="00263244" w:rsidP="00263244">
      <w:pPr>
        <w:widowControl w:val="0"/>
        <w:kinsoku w:val="0"/>
        <w:overflowPunct w:val="0"/>
        <w:spacing w:before="216" w:after="0" w:line="316" w:lineRule="exact"/>
        <w:ind w:right="-14"/>
        <w:jc w:val="both"/>
        <w:textAlignment w:val="baseline"/>
        <w:rPr>
          <w:i/>
          <w:iCs/>
          <w:sz w:val="28"/>
          <w:szCs w:val="28"/>
          <w:lang w:val="es-ES" w:eastAsia="es-ES"/>
        </w:rPr>
      </w:pPr>
      <w:r w:rsidRPr="007B65A6">
        <w:rPr>
          <w:b/>
          <w:sz w:val="28"/>
          <w:szCs w:val="28"/>
          <w:lang w:val="es-ES" w:eastAsia="es-ES"/>
        </w:rPr>
        <w:t>III.-</w:t>
      </w:r>
      <w:r>
        <w:rPr>
          <w:sz w:val="28"/>
          <w:szCs w:val="28"/>
          <w:lang w:val="es-ES" w:eastAsia="es-ES"/>
        </w:rPr>
        <w:tab/>
        <w:t xml:space="preserve">Por carecer la presente resolución de ulterior recurso en sede administrativa, de conformidad con los artículos 16 y 22, inciso c), de la Ley 7969, </w:t>
      </w:r>
      <w:r>
        <w:rPr>
          <w:i/>
          <w:iCs/>
          <w:sz w:val="28"/>
          <w:szCs w:val="28"/>
          <w:lang w:val="es-ES" w:eastAsia="es-ES"/>
        </w:rPr>
        <w:t>se da por agotada la vía administrativa.</w:t>
      </w:r>
    </w:p>
    <w:p w:rsidR="00263244" w:rsidRDefault="00263244" w:rsidP="00263244">
      <w:pPr>
        <w:kinsoku w:val="0"/>
        <w:overflowPunct w:val="0"/>
        <w:spacing w:before="306" w:line="303" w:lineRule="exact"/>
        <w:ind w:right="-14"/>
        <w:textAlignment w:val="baseline"/>
        <w:rPr>
          <w:b/>
          <w:bCs/>
          <w:spacing w:val="-6"/>
          <w:sz w:val="28"/>
          <w:szCs w:val="28"/>
          <w:lang w:val="es-ES" w:eastAsia="es-ES"/>
        </w:rPr>
      </w:pPr>
      <w:r>
        <w:rPr>
          <w:b/>
          <w:bCs/>
          <w:spacing w:val="-6"/>
          <w:sz w:val="28"/>
          <w:szCs w:val="28"/>
          <w:lang w:val="es-ES" w:eastAsia="es-ES"/>
        </w:rPr>
        <w:t>NOTIFÍQUESE</w:t>
      </w:r>
    </w:p>
    <w:p w:rsidR="00263244" w:rsidRDefault="00263244" w:rsidP="00263244">
      <w:pPr>
        <w:kinsoku w:val="0"/>
        <w:overflowPunct w:val="0"/>
        <w:spacing w:before="965" w:line="316" w:lineRule="exact"/>
        <w:ind w:right="-14"/>
        <w:jc w:val="center"/>
        <w:textAlignment w:val="baseline"/>
        <w:rPr>
          <w:b/>
          <w:bCs/>
          <w:sz w:val="28"/>
          <w:szCs w:val="28"/>
          <w:lang w:val="es-ES" w:eastAsia="es-ES"/>
        </w:rPr>
      </w:pPr>
      <w:r>
        <w:rPr>
          <w:sz w:val="28"/>
          <w:szCs w:val="28"/>
          <w:lang w:val="es-ES" w:eastAsia="es-ES"/>
        </w:rPr>
        <w:t>Lic. Carlos Miguel Portuguez Méndez</w:t>
      </w:r>
      <w:r>
        <w:rPr>
          <w:sz w:val="28"/>
          <w:szCs w:val="28"/>
          <w:lang w:val="es-ES" w:eastAsia="es-ES"/>
        </w:rPr>
        <w:br/>
      </w:r>
      <w:r>
        <w:rPr>
          <w:b/>
          <w:bCs/>
          <w:sz w:val="28"/>
          <w:szCs w:val="28"/>
          <w:lang w:val="es-ES" w:eastAsia="es-ES"/>
        </w:rPr>
        <w:t>PRESIDENTE</w:t>
      </w:r>
    </w:p>
    <w:p w:rsidR="00263244" w:rsidRDefault="00263244" w:rsidP="00263244">
      <w:pPr>
        <w:pStyle w:val="Sinespaciado"/>
        <w:jc w:val="center"/>
        <w:rPr>
          <w:sz w:val="28"/>
          <w:szCs w:val="28"/>
          <w:lang w:val="es-ES" w:eastAsia="es-ES"/>
        </w:rPr>
      </w:pPr>
    </w:p>
    <w:p w:rsidR="00D21497" w:rsidRDefault="00D21497" w:rsidP="00263244">
      <w:pPr>
        <w:pStyle w:val="Sinespaciado"/>
        <w:jc w:val="center"/>
        <w:rPr>
          <w:sz w:val="28"/>
          <w:szCs w:val="28"/>
          <w:lang w:val="es-ES" w:eastAsia="es-ES"/>
        </w:rPr>
      </w:pPr>
    </w:p>
    <w:p w:rsidR="00263244" w:rsidRDefault="00263244" w:rsidP="00263244">
      <w:pPr>
        <w:pStyle w:val="Sinespaciado"/>
        <w:jc w:val="center"/>
        <w:rPr>
          <w:sz w:val="28"/>
          <w:szCs w:val="28"/>
          <w:lang w:val="es-ES" w:eastAsia="es-ES"/>
        </w:rPr>
      </w:pPr>
    </w:p>
    <w:p w:rsidR="00263244" w:rsidRPr="00456F2C" w:rsidRDefault="00263244" w:rsidP="00263244">
      <w:pPr>
        <w:pStyle w:val="Sinespaciado"/>
        <w:jc w:val="center"/>
        <w:rPr>
          <w:sz w:val="28"/>
          <w:szCs w:val="28"/>
          <w:lang w:val="es-ES" w:eastAsia="es-ES"/>
        </w:rPr>
      </w:pPr>
      <w:r w:rsidRPr="00456F2C">
        <w:rPr>
          <w:sz w:val="28"/>
          <w:szCs w:val="28"/>
          <w:lang w:val="es-ES" w:eastAsia="es-ES"/>
        </w:rPr>
        <w:t>Licda. Marta Luz Pérez Peláez</w:t>
      </w:r>
      <w:r w:rsidRPr="00456F2C">
        <w:rPr>
          <w:sz w:val="28"/>
          <w:szCs w:val="28"/>
          <w:lang w:val="es-ES" w:eastAsia="es-ES"/>
        </w:rPr>
        <w:tab/>
        <w:t xml:space="preserve">               </w:t>
      </w:r>
      <w:r>
        <w:rPr>
          <w:sz w:val="28"/>
          <w:szCs w:val="28"/>
          <w:lang w:val="es-ES" w:eastAsia="es-ES"/>
        </w:rPr>
        <w:t xml:space="preserve"> </w:t>
      </w:r>
      <w:r w:rsidRPr="00456F2C">
        <w:rPr>
          <w:sz w:val="28"/>
          <w:szCs w:val="28"/>
          <w:lang w:val="es-ES" w:eastAsia="es-ES"/>
        </w:rPr>
        <w:t xml:space="preserve">                Lic. Mario Quesada Aguirre</w:t>
      </w:r>
    </w:p>
    <w:p w:rsidR="00263244" w:rsidRDefault="00263244" w:rsidP="00263244">
      <w:pPr>
        <w:pStyle w:val="Sinespaciado"/>
        <w:jc w:val="center"/>
        <w:rPr>
          <w:b/>
          <w:bCs/>
          <w:sz w:val="28"/>
          <w:szCs w:val="28"/>
          <w:lang w:val="es-ES" w:eastAsia="es-ES"/>
        </w:rPr>
      </w:pPr>
      <w:r w:rsidRPr="00456F2C">
        <w:rPr>
          <w:b/>
          <w:bCs/>
          <w:sz w:val="28"/>
          <w:szCs w:val="28"/>
          <w:lang w:val="es-ES" w:eastAsia="es-ES"/>
        </w:rPr>
        <w:t>JUEZA</w:t>
      </w:r>
      <w:r w:rsidRPr="00456F2C">
        <w:rPr>
          <w:b/>
          <w:bCs/>
          <w:sz w:val="28"/>
          <w:szCs w:val="28"/>
          <w:lang w:val="es-ES" w:eastAsia="es-ES"/>
        </w:rPr>
        <w:tab/>
      </w:r>
      <w:r>
        <w:rPr>
          <w:b/>
          <w:bCs/>
          <w:sz w:val="28"/>
          <w:szCs w:val="28"/>
          <w:lang w:val="es-ES" w:eastAsia="es-ES"/>
        </w:rPr>
        <w:t xml:space="preserve">                                                                </w:t>
      </w:r>
      <w:r w:rsidRPr="00456F2C">
        <w:rPr>
          <w:b/>
          <w:bCs/>
          <w:sz w:val="28"/>
          <w:szCs w:val="28"/>
          <w:lang w:val="es-ES" w:eastAsia="es-ES"/>
        </w:rPr>
        <w:t>JUEZ</w:t>
      </w:r>
    </w:p>
    <w:p w:rsidR="00915CEF" w:rsidRDefault="00915CEF" w:rsidP="00263244">
      <w:pPr>
        <w:pStyle w:val="Sinespaciado"/>
        <w:jc w:val="center"/>
        <w:rPr>
          <w:b/>
          <w:bCs/>
          <w:sz w:val="28"/>
          <w:szCs w:val="28"/>
          <w:lang w:val="es-ES" w:eastAsia="es-ES"/>
        </w:rPr>
      </w:pPr>
    </w:p>
    <w:p w:rsidR="00915CEF" w:rsidRDefault="00915CEF" w:rsidP="00263244">
      <w:pPr>
        <w:pStyle w:val="Sinespaciado"/>
        <w:jc w:val="center"/>
        <w:rPr>
          <w:b/>
          <w:bCs/>
          <w:sz w:val="28"/>
          <w:szCs w:val="28"/>
          <w:lang w:val="es-ES" w:eastAsia="es-ES"/>
        </w:rPr>
      </w:pPr>
    </w:p>
    <w:p w:rsidR="00915CEF" w:rsidRDefault="00915CEF" w:rsidP="00263244">
      <w:pPr>
        <w:pStyle w:val="Sinespaciado"/>
        <w:jc w:val="center"/>
        <w:rPr>
          <w:b/>
          <w:bCs/>
          <w:sz w:val="28"/>
          <w:szCs w:val="28"/>
          <w:lang w:val="es-ES" w:eastAsia="es-ES"/>
        </w:rPr>
      </w:pPr>
    </w:p>
    <w:p w:rsidR="008C3D79" w:rsidRDefault="008C3D79" w:rsidP="00263244">
      <w:pPr>
        <w:pStyle w:val="Sinespaciado"/>
        <w:jc w:val="center"/>
        <w:rPr>
          <w:b/>
          <w:bCs/>
          <w:sz w:val="28"/>
          <w:szCs w:val="28"/>
          <w:lang w:val="es-ES" w:eastAsia="es-ES"/>
        </w:rPr>
      </w:pPr>
    </w:p>
    <w:p w:rsidR="008C3D79" w:rsidRDefault="008C3D79" w:rsidP="00263244">
      <w:pPr>
        <w:pStyle w:val="Sinespaciado"/>
        <w:jc w:val="center"/>
        <w:rPr>
          <w:b/>
          <w:bCs/>
          <w:sz w:val="28"/>
          <w:szCs w:val="28"/>
          <w:lang w:val="es-ES" w:eastAsia="es-ES"/>
        </w:rPr>
      </w:pPr>
    </w:p>
    <w:p w:rsidR="008C3D79" w:rsidRDefault="008C3D79" w:rsidP="00263244">
      <w:pPr>
        <w:pStyle w:val="Sinespaciado"/>
        <w:jc w:val="center"/>
        <w:rPr>
          <w:b/>
          <w:bCs/>
          <w:sz w:val="28"/>
          <w:szCs w:val="28"/>
          <w:lang w:val="es-ES" w:eastAsia="es-ES"/>
        </w:rPr>
      </w:pPr>
    </w:p>
    <w:p w:rsidR="008C3D79" w:rsidRDefault="008C3D79" w:rsidP="00263244">
      <w:pPr>
        <w:pStyle w:val="Sinespaciado"/>
        <w:jc w:val="center"/>
        <w:rPr>
          <w:b/>
          <w:bCs/>
          <w:sz w:val="28"/>
          <w:szCs w:val="28"/>
          <w:lang w:val="es-ES" w:eastAsia="es-ES"/>
        </w:rPr>
      </w:pPr>
    </w:p>
    <w:p w:rsidR="00915CEF" w:rsidRPr="00456F2C" w:rsidRDefault="00915CEF" w:rsidP="00263244">
      <w:pPr>
        <w:pStyle w:val="Sinespaciado"/>
        <w:jc w:val="center"/>
        <w:rPr>
          <w:b/>
          <w:bCs/>
          <w:sz w:val="28"/>
          <w:szCs w:val="28"/>
          <w:lang w:val="es-ES" w:eastAsia="es-ES"/>
        </w:rPr>
      </w:pPr>
      <w:bookmarkStart w:id="0" w:name="_GoBack"/>
      <w:bookmarkEnd w:id="0"/>
    </w:p>
    <w:sectPr w:rsidR="00915CEF" w:rsidRPr="00456F2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B19" w:rsidRDefault="00E93B19">
      <w:pPr>
        <w:spacing w:after="0" w:line="240" w:lineRule="auto"/>
      </w:pPr>
      <w:r>
        <w:separator/>
      </w:r>
    </w:p>
  </w:endnote>
  <w:endnote w:type="continuationSeparator" w:id="0">
    <w:p w:rsidR="00E93B19" w:rsidRDefault="00E9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B19" w:rsidRDefault="00E93B19">
      <w:pPr>
        <w:spacing w:after="0" w:line="240" w:lineRule="auto"/>
      </w:pPr>
      <w:r>
        <w:separator/>
      </w:r>
    </w:p>
  </w:footnote>
  <w:footnote w:type="continuationSeparator" w:id="0">
    <w:p w:rsidR="00E93B19" w:rsidRDefault="00E93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44"/>
    <w:rsid w:val="000406E9"/>
    <w:rsid w:val="00263244"/>
    <w:rsid w:val="003E7A07"/>
    <w:rsid w:val="005854BC"/>
    <w:rsid w:val="005B5211"/>
    <w:rsid w:val="00747540"/>
    <w:rsid w:val="008C3D79"/>
    <w:rsid w:val="00915CEF"/>
    <w:rsid w:val="00963C36"/>
    <w:rsid w:val="0098676A"/>
    <w:rsid w:val="00B26947"/>
    <w:rsid w:val="00CB7032"/>
    <w:rsid w:val="00CC1B87"/>
    <w:rsid w:val="00D21497"/>
    <w:rsid w:val="00E93B19"/>
    <w:rsid w:val="00F721DE"/>
    <w:rsid w:val="00FC0201"/>
    <w:rsid w:val="00FD593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E88E5-3A41-41AF-B7DD-88B435F2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2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63244"/>
    <w:pPr>
      <w:spacing w:after="0" w:line="240" w:lineRule="auto"/>
    </w:pPr>
  </w:style>
  <w:style w:type="paragraph" w:customStyle="1" w:styleId="Default">
    <w:name w:val="Default"/>
    <w:rsid w:val="00263244"/>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263244"/>
  </w:style>
  <w:style w:type="paragraph" w:styleId="NormalWeb">
    <w:name w:val="Normal (Web)"/>
    <w:basedOn w:val="Normal"/>
    <w:uiPriority w:val="99"/>
    <w:unhideWhenUsed/>
    <w:rsid w:val="00263244"/>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263244"/>
  </w:style>
  <w:style w:type="character" w:customStyle="1" w:styleId="CharacterStyle1">
    <w:name w:val="Character Style 1"/>
    <w:uiPriority w:val="99"/>
    <w:rsid w:val="00263244"/>
    <w:rPr>
      <w:sz w:val="25"/>
      <w:szCs w:val="25"/>
    </w:rPr>
  </w:style>
  <w:style w:type="paragraph" w:styleId="Piedepgina">
    <w:name w:val="footer"/>
    <w:basedOn w:val="Normal"/>
    <w:link w:val="PiedepginaCar"/>
    <w:uiPriority w:val="99"/>
    <w:unhideWhenUsed/>
    <w:rsid w:val="002632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244"/>
  </w:style>
  <w:style w:type="paragraph" w:styleId="Encabezado">
    <w:name w:val="header"/>
    <w:basedOn w:val="Normal"/>
    <w:link w:val="EncabezadoCar"/>
    <w:uiPriority w:val="99"/>
    <w:unhideWhenUsed/>
    <w:rsid w:val="00D214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497"/>
  </w:style>
  <w:style w:type="paragraph" w:styleId="Textodeglobo">
    <w:name w:val="Balloon Text"/>
    <w:basedOn w:val="Normal"/>
    <w:link w:val="TextodegloboCar"/>
    <w:uiPriority w:val="99"/>
    <w:semiHidden/>
    <w:unhideWhenUsed/>
    <w:rsid w:val="00585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5550</Words>
  <Characters>30528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2016-06-03T16:16:00Z</cp:lastPrinted>
  <dcterms:created xsi:type="dcterms:W3CDTF">2016-06-03T16:18:00Z</dcterms:created>
  <dcterms:modified xsi:type="dcterms:W3CDTF">2019-07-18T15:38:00Z</dcterms:modified>
</cp:coreProperties>
</file>